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ascii="Arial" w:hAnsi="Arial" w:eastAsia="MS Mincho" w:cs="Arial"/>
          <w:b/>
          <w:bCs/>
          <w:sz w:val="28"/>
          <w:lang w:eastAsia="ja-JP"/>
        </w:rPr>
      </w:pPr>
      <w:bookmarkStart w:id="0" w:name="_Ref494746248"/>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R1-2110922</w:t>
      </w:r>
      <w:r>
        <w:rPr>
          <w:rFonts w:ascii="Arial" w:hAnsi="Arial" w:eastAsia="MS Mincho" w:cs="Arial"/>
          <w:b/>
          <w:bCs/>
          <w:sz w:val="22"/>
          <w:szCs w:val="22"/>
          <w:highlight w:val="green"/>
          <w:lang w:eastAsia="ja-JP"/>
        </w:rPr>
        <w:br w:type="textWrapping"/>
      </w:r>
      <w:r>
        <w:rPr>
          <w:rFonts w:ascii="Arial" w:hAnsi="Arial" w:eastAsia="MS Mincho" w:cs="Arial"/>
          <w:b/>
          <w:bCs/>
          <w:sz w:val="22"/>
          <w:szCs w:val="22"/>
          <w:lang w:eastAsia="ja-JP"/>
        </w:rPr>
        <w:t>e-Meeting, November</w:t>
      </w:r>
      <w:r>
        <w:rPr>
          <w:rFonts w:ascii="Arial" w:hAnsi="Arial" w:eastAsia="MS Mincho" w:cs="Arial"/>
          <w:b/>
          <w:bCs/>
          <w:sz w:val="28"/>
          <w:lang w:eastAsia="ja-JP"/>
        </w:rPr>
        <w:t xml:space="preserve"> </w:t>
      </w:r>
      <w:r>
        <w:rPr>
          <w:rFonts w:ascii="Arial" w:hAnsi="Arial" w:cs="Arial"/>
          <w:b/>
          <w:sz w:val="22"/>
          <w:szCs w:val="22"/>
          <w:lang w:eastAsia="ja-JP"/>
        </w:rPr>
        <w:t>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tabs>
          <w:tab w:val="center" w:pos="4536"/>
          <w:tab w:val="right" w:pos="9072"/>
        </w:tabs>
        <w:rPr>
          <w:highlight w:val="none"/>
        </w:rPr>
      </w:pP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support of Type A PUSCH repetitions for Msg3</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w:t>
      </w:r>
      <w:r>
        <w:rPr>
          <w:rFonts w:hint="eastAsia" w:ascii="Arial" w:hAnsi="Arial"/>
          <w:b/>
          <w:highlight w:val="none"/>
          <w:lang w:val="en-US" w:eastAsia="zh-CN"/>
        </w:rPr>
        <w:t>3</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rFonts w:hint="default"/>
          <w:highlight w:val="none"/>
          <w:lang w:val="en-US" w:eastAsia="zh-CN"/>
        </w:rPr>
      </w:pPr>
      <w:bookmarkStart w:id="2" w:name="_Ref4817"/>
      <w:r>
        <w:rPr>
          <w:rFonts w:hint="eastAsia"/>
          <w:highlight w:val="none"/>
          <w:lang w:val="en-US" w:eastAsia="zh-CN"/>
        </w:rPr>
        <w:t xml:space="preserve"> </w:t>
      </w:r>
      <w:r>
        <w:rPr>
          <w:highlight w:val="none"/>
        </w:rPr>
        <w:t>Introduction</w:t>
      </w:r>
      <w:bookmarkEnd w:id="0"/>
      <w:bookmarkEnd w:id="2"/>
      <w:r>
        <w:rPr>
          <w:rFonts w:hint="eastAsia"/>
          <w:lang w:val="en-US" w:eastAsia="zh-CN"/>
        </w:rPr>
        <w:t xml:space="preserve"> </w:t>
      </w: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provide our views on Msg3 PUSCH repetition, including most of the issues listed in feature lead summary in [1]. </w:t>
      </w:r>
    </w:p>
    <w:p>
      <w:pPr>
        <w:pStyle w:val="2"/>
        <w:bidi w:val="0"/>
        <w:rPr>
          <w:rFonts w:hint="default"/>
          <w:highlight w:val="none"/>
          <w:lang w:val="en-US" w:eastAsia="zh-CN"/>
        </w:rPr>
      </w:pPr>
      <w:r>
        <w:rPr>
          <w:rFonts w:hint="eastAsia"/>
          <w:highlight w:val="none"/>
          <w:lang w:val="en-US" w:eastAsia="zh-CN"/>
        </w:rPr>
        <w:t xml:space="preserve"> Indication of the number of repetitions</w:t>
      </w:r>
    </w:p>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 xml:space="preserve"> On Msg3 initial transmission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cs="Times New Roman"/>
          <w:color w:val="auto"/>
          <w:sz w:val="20"/>
          <w:szCs w:val="20"/>
          <w:lang w:val="en-US" w:eastAsia="zh-CN"/>
        </w:rPr>
      </w:pPr>
      <w:r>
        <w:rPr>
          <w:rFonts w:hint="eastAsia"/>
          <w:lang w:val="en-US" w:eastAsia="zh-CN"/>
        </w:rPr>
        <w:t>Regarding the repetition indication for Msg3 initial transmission, the following WA was reached in RAN1#106bis-e</w:t>
      </w:r>
      <w:r>
        <w:rPr>
          <w:rFonts w:hint="eastAsia"/>
          <w:highlight w:val="none"/>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rPr>
                <w:rFonts w:hint="default" w:ascii="Times New Roman" w:hAnsi="Times New Roman" w:eastAsia="宋体" w:cs="Times New Roman"/>
                <w:b w:val="0"/>
                <w:bCs/>
                <w:highlight w:val="darkYellow"/>
                <w:shd w:val="clear" w:color="auto" w:fill="FFFFFF"/>
                <w:lang w:val="en-US" w:eastAsia="zh-CN"/>
              </w:rPr>
            </w:pPr>
            <w:r>
              <w:rPr>
                <w:rFonts w:hint="default" w:ascii="Times New Roman" w:hAnsi="Times New Roman" w:eastAsia="宋体" w:cs="Times New Roman"/>
                <w:b w:val="0"/>
                <w:bCs/>
                <w:highlight w:val="darkYellow"/>
                <w:shd w:val="clear" w:color="auto" w:fill="FFFFFF"/>
                <w:lang w:val="en-US" w:eastAsia="zh-CN" w:bidi="ar"/>
              </w:rPr>
              <w:t xml:space="preserve">Working Assumption </w:t>
            </w:r>
          </w:p>
          <w:p>
            <w:pPr>
              <w:spacing w:before="120" w:after="180" w:line="280" w:lineRule="atLeast"/>
              <w:rPr>
                <w:rFonts w:hint="default" w:ascii="Times New Roman" w:hAnsi="Times New Roman" w:eastAsia="New York" w:cs="Times New Roman"/>
                <w:b w:val="0"/>
                <w:bCs/>
                <w:lang w:val="en-US" w:eastAsia="zh-CN"/>
              </w:rPr>
            </w:pPr>
            <w:r>
              <w:rPr>
                <w:rFonts w:hint="default" w:ascii="Times New Roman" w:hAnsi="Times New Roman" w:eastAsia="宋体" w:cs="Times New Roman"/>
                <w:b w:val="0"/>
                <w:bCs/>
                <w:shd w:val="clear" w:color="auto" w:fill="FFFFFF"/>
                <w:lang w:val="en-US" w:eastAsia="zh-CN" w:bidi="ar"/>
              </w:rPr>
              <w:t>Down-select only one from the following methods for indication of the number of repetitions of Msg3 initial transmission.</w:t>
            </w:r>
          </w:p>
          <w:p>
            <w:pPr>
              <w:numPr>
                <w:ilvl w:val="0"/>
                <w:numId w:val="9"/>
              </w:numPr>
              <w:tabs>
                <w:tab w:val="left" w:pos="720"/>
              </w:tabs>
              <w:spacing w:before="120" w:afterLines="50" w:line="254" w:lineRule="auto"/>
              <w:rPr>
                <w:rFonts w:hint="default" w:ascii="Times New Roman" w:hAnsi="Times New Roman" w:eastAsia="New York" w:cs="Times New Roman"/>
                <w:b w:val="0"/>
                <w:bCs/>
                <w:lang w:val="en-US" w:eastAsia="zh-CN"/>
              </w:rPr>
            </w:pPr>
            <w:r>
              <w:rPr>
                <w:rFonts w:hint="default" w:ascii="Times New Roman" w:hAnsi="Times New Roman" w:eastAsia="New York" w:cs="Times New Roman"/>
                <w:b w:val="0"/>
                <w:bCs/>
                <w:lang w:val="en-US" w:eastAsia="zh-CN"/>
              </w:rPr>
              <w:t xml:space="preserve">Alt 1: If TDRA information field is chosen, Option 2 is supported. </w:t>
            </w:r>
          </w:p>
          <w:p>
            <w:pPr>
              <w:numPr>
                <w:ilvl w:val="1"/>
                <w:numId w:val="9"/>
              </w:numPr>
              <w:tabs>
                <w:tab w:val="left" w:pos="1440"/>
              </w:tabs>
              <w:spacing w:before="120" w:afterLines="50" w:line="254" w:lineRule="auto"/>
              <w:rPr>
                <w:rFonts w:hint="default" w:ascii="Times New Roman" w:hAnsi="Times New Roman" w:eastAsia="New York" w:cs="Times New Roman"/>
                <w:b w:val="0"/>
                <w:bCs/>
                <w:lang w:val="en-US" w:eastAsia="zh-CN"/>
              </w:rPr>
            </w:pPr>
            <w:r>
              <w:rPr>
                <w:rFonts w:hint="default" w:ascii="Times New Roman" w:hAnsi="Times New Roman" w:eastAsia="New York" w:cs="Times New Roman"/>
                <w:b w:val="0"/>
                <w:bCs/>
                <w:lang w:val="en-US" w:eastAsia="zh-CN"/>
              </w:rPr>
              <w:t xml:space="preserve"> </w:t>
            </w:r>
            <w:r>
              <w:rPr>
                <w:rFonts w:hint="default" w:ascii="Times New Roman" w:hAnsi="Times New Roman" w:eastAsia="宋体" w:cs="Times New Roman"/>
                <w:b w:val="0"/>
                <w:bCs/>
                <w:shd w:val="clear" w:color="auto" w:fill="FFFFFF"/>
                <w:lang w:val="en-US" w:eastAsia="zh-CN"/>
              </w:rPr>
              <w:t xml:space="preserve"> The candidate values for repetition factor could be chosen from {[1], 2, 3, 4, 7, 8, [12], [16]} </w:t>
            </w:r>
          </w:p>
          <w:p>
            <w:pPr>
              <w:numPr>
                <w:ilvl w:val="0"/>
                <w:numId w:val="9"/>
              </w:numPr>
              <w:tabs>
                <w:tab w:val="left" w:pos="720"/>
              </w:tabs>
              <w:spacing w:before="120" w:afterLines="50" w:line="254" w:lineRule="auto"/>
              <w:rPr>
                <w:rFonts w:hint="default" w:ascii="Times New Roman" w:hAnsi="Times New Roman" w:eastAsia="New York" w:cs="Times New Roman"/>
                <w:b w:val="0"/>
                <w:bCs/>
                <w:lang w:val="en-US" w:eastAsia="zh-CN"/>
              </w:rPr>
            </w:pPr>
            <w:r>
              <w:rPr>
                <w:rFonts w:hint="default" w:ascii="Times New Roman" w:hAnsi="Times New Roman" w:eastAsia="New York" w:cs="Times New Roman"/>
                <w:b w:val="0"/>
                <w:bCs/>
                <w:lang w:val="en-US" w:eastAsia="zh-CN"/>
              </w:rPr>
              <w:t xml:space="preserve">Alt 2: If MCS information </w:t>
            </w:r>
            <w:r>
              <w:rPr>
                <w:rFonts w:hint="default" w:ascii="Times New Roman" w:hAnsi="Times New Roman" w:eastAsia="宋体" w:cs="Times New Roman"/>
                <w:b w:val="0"/>
                <w:bCs/>
                <w:shd w:val="clear" w:color="auto" w:fill="FFFFFF"/>
                <w:lang w:val="en-US" w:eastAsia="zh-CN"/>
              </w:rPr>
              <w:t xml:space="preserve">field is chosen, repurpose the MCS </w:t>
            </w:r>
            <w:r>
              <w:rPr>
                <w:rFonts w:hint="default" w:ascii="Times New Roman" w:hAnsi="Times New Roman" w:eastAsia="New York" w:cs="Times New Roman"/>
                <w:b w:val="0"/>
                <w:bCs/>
                <w:lang w:val="en-US" w:eastAsia="zh-CN"/>
              </w:rPr>
              <w:t xml:space="preserve">information </w:t>
            </w:r>
            <w:r>
              <w:rPr>
                <w:rFonts w:hint="default" w:ascii="Times New Roman" w:hAnsi="Times New Roman" w:eastAsia="宋体" w:cs="Times New Roman"/>
                <w:b w:val="0"/>
                <w:bCs/>
                <w:shd w:val="clear" w:color="auto" w:fill="FFFFFF"/>
                <w:lang w:val="en-US" w:eastAsia="zh-CN"/>
              </w:rPr>
              <w:t>field</w:t>
            </w:r>
            <w:r>
              <w:rPr>
                <w:rFonts w:hint="default" w:ascii="Times New Roman" w:hAnsi="Times New Roman" w:eastAsia="New York" w:cs="Times New Roman"/>
                <w:b w:val="0"/>
                <w:bCs/>
                <w:lang w:val="en-US" w:eastAsia="zh-CN"/>
              </w:rPr>
              <w:t xml:space="preserve"> as follows.</w:t>
            </w:r>
          </w:p>
          <w:p>
            <w:pPr>
              <w:numPr>
                <w:ilvl w:val="1"/>
                <w:numId w:val="9"/>
              </w:numPr>
              <w:tabs>
                <w:tab w:val="left" w:pos="1440"/>
              </w:tabs>
              <w:spacing w:before="120" w:afterLines="50" w:line="254" w:lineRule="auto"/>
              <w:rPr>
                <w:rFonts w:hint="default" w:ascii="Times New Roman" w:hAnsi="Times New Roman" w:eastAsia="宋体" w:cs="Times New Roman"/>
                <w:b w:val="0"/>
                <w:bCs/>
                <w:shd w:val="clear" w:color="auto" w:fill="FFFFFF"/>
                <w:lang w:val="en-US" w:eastAsia="zh-CN"/>
              </w:rPr>
            </w:pPr>
            <w:r>
              <w:rPr>
                <w:rFonts w:hint="default" w:ascii="Times New Roman" w:hAnsi="Times New Roman" w:eastAsia="宋体" w:cs="Times New Roman"/>
                <w:b w:val="0"/>
                <w:bCs/>
                <w:shd w:val="clear" w:color="auto" w:fill="FFFFFF"/>
                <w:lang w:val="en-US" w:eastAsia="zh-CN"/>
              </w:rPr>
              <w:t xml:space="preserve">2 MSB bits of the MCS </w:t>
            </w:r>
            <w:r>
              <w:rPr>
                <w:rFonts w:hint="default" w:ascii="Times New Roman" w:hAnsi="Times New Roman" w:eastAsia="New York" w:cs="Times New Roman"/>
                <w:b w:val="0"/>
                <w:bCs/>
                <w:lang w:val="en-US" w:eastAsia="zh-CN"/>
              </w:rPr>
              <w:t xml:space="preserve">information </w:t>
            </w:r>
            <w:r>
              <w:rPr>
                <w:rFonts w:hint="default" w:ascii="Times New Roman" w:hAnsi="Times New Roman" w:eastAsia="宋体" w:cs="Times New Roman"/>
                <w:b w:val="0"/>
                <w:bCs/>
                <w:shd w:val="clear" w:color="auto" w:fill="FFFFFF"/>
                <w:lang w:val="en-US" w:eastAsia="zh-CN"/>
              </w:rPr>
              <w:t>field are used for selecting one repetition factor from a SIB1 configured set with 4 candidate values.</w:t>
            </w:r>
          </w:p>
          <w:p>
            <w:pPr>
              <w:numPr>
                <w:ilvl w:val="2"/>
                <w:numId w:val="9"/>
              </w:numPr>
              <w:tabs>
                <w:tab w:val="left" w:pos="2160"/>
              </w:tabs>
              <w:spacing w:before="120" w:afterLines="50" w:line="254" w:lineRule="auto"/>
              <w:rPr>
                <w:rFonts w:hint="default" w:ascii="Times New Roman" w:hAnsi="Times New Roman" w:eastAsia="宋体" w:cs="Times New Roman"/>
                <w:b w:val="0"/>
                <w:bCs/>
                <w:shd w:val="clear" w:color="auto" w:fill="FFFFFF"/>
                <w:lang w:val="en-US" w:eastAsia="zh-CN"/>
              </w:rPr>
            </w:pPr>
            <w:r>
              <w:rPr>
                <w:rFonts w:hint="default" w:ascii="Times New Roman" w:hAnsi="Times New Roman" w:eastAsia="宋体" w:cs="Times New Roman"/>
                <w:b w:val="0"/>
                <w:bCs/>
                <w:shd w:val="clear" w:color="auto" w:fill="FFFFFF"/>
                <w:lang w:val="en-US" w:eastAsia="zh-CN"/>
              </w:rPr>
              <w:t xml:space="preserve"> The set of candidate values for repetition factor could be chosen from {[1], 2, 3, 4, 7, 8, [12], [16]}</w:t>
            </w:r>
          </w:p>
          <w:p>
            <w:pPr>
              <w:spacing w:before="120" w:line="280" w:lineRule="atLeast"/>
              <w:rPr>
                <w:rFonts w:hint="default" w:cs="Times New Roman"/>
                <w:color w:val="auto"/>
                <w:sz w:val="20"/>
                <w:szCs w:val="20"/>
                <w:vertAlign w:val="baseline"/>
                <w:lang w:val="en-US" w:eastAsia="zh-CN"/>
              </w:rPr>
            </w:pPr>
            <w:r>
              <w:rPr>
                <w:rFonts w:hint="default" w:ascii="Times New Roman" w:hAnsi="Times New Roman" w:eastAsia="New York" w:cs="Times New Roman"/>
                <w:b w:val="0"/>
                <w:bCs/>
                <w:lang w:val="en-US" w:eastAsia="zh-CN" w:bidi="ar"/>
              </w:rPr>
              <w:t>Note: Whether ‘1’ is included depends on the outcome of interpretation of the selected information field.</w:t>
            </w:r>
          </w:p>
        </w:tc>
      </w:tr>
    </w:tbl>
    <w:p>
      <w:pPr>
        <w:bidi w:val="0"/>
        <w:rPr>
          <w:rFonts w:hint="eastAsia"/>
          <w:lang w:val="en-US" w:eastAsia="zh-CN"/>
        </w:rPr>
      </w:pPr>
    </w:p>
    <w:p>
      <w:pPr>
        <w:bidi w:val="0"/>
        <w:rPr>
          <w:rFonts w:hint="default" w:eastAsiaTheme="minorEastAsia"/>
          <w:highlight w:val="none"/>
          <w:lang w:val="en-US" w:eastAsia="zh-CN"/>
        </w:rPr>
      </w:pPr>
      <w:r>
        <w:rPr>
          <w:rFonts w:hint="eastAsia"/>
          <w:highlight w:val="none"/>
          <w:lang w:val="en-US" w:eastAsia="zh-CN"/>
        </w:rPr>
        <w:t xml:space="preserve">In Rel-16, the number of repetitions is encoded in the TDRA table and can be dynamically indicated by the TDRA </w:t>
      </w:r>
      <w:r>
        <w:rPr>
          <w:rFonts w:hint="eastAsia" w:eastAsiaTheme="minorEastAsia"/>
          <w:highlight w:val="none"/>
          <w:lang w:val="en-US" w:eastAsia="zh-CN"/>
        </w:rPr>
        <w:t xml:space="preserve">information </w:t>
      </w:r>
      <w:r>
        <w:rPr>
          <w:rFonts w:hint="eastAsia"/>
          <w:highlight w:val="none"/>
          <w:lang w:val="en-US" w:eastAsia="zh-CN"/>
        </w:rPr>
        <w:t xml:space="preserve">filed in DCI. Similar approach can be considered for repetition indication of Msg3 transmission. That is, </w:t>
      </w:r>
      <w:r>
        <w:rPr>
          <w:rFonts w:hint="eastAsia" w:eastAsiaTheme="minorEastAsia"/>
          <w:highlight w:val="none"/>
          <w:lang w:val="en-US" w:eastAsia="zh-CN"/>
        </w:rPr>
        <w:t>t</w:t>
      </w:r>
      <w:r>
        <w:rPr>
          <w:highlight w:val="none"/>
          <w:lang w:eastAsia="zh-CN"/>
        </w:rPr>
        <w:t xml:space="preserve">he number of repetitions can be </w:t>
      </w:r>
      <w:r>
        <w:rPr>
          <w:rFonts w:hint="eastAsia"/>
          <w:highlight w:val="none"/>
          <w:lang w:val="en-US" w:eastAsia="zh-CN"/>
        </w:rPr>
        <w:t xml:space="preserve">included in one column of </w:t>
      </w:r>
      <w:r>
        <w:rPr>
          <w:highlight w:val="none"/>
          <w:lang w:eastAsia="zh-CN"/>
        </w:rPr>
        <w:t xml:space="preserve">the TDRA </w:t>
      </w:r>
      <w:r>
        <w:rPr>
          <w:rFonts w:hint="eastAsia"/>
          <w:highlight w:val="none"/>
          <w:lang w:val="en-US" w:eastAsia="zh-CN"/>
        </w:rPr>
        <w:t xml:space="preserve">table </w:t>
      </w:r>
      <w:r>
        <w:rPr>
          <w:highlight w:val="none"/>
          <w:lang w:eastAsia="zh-CN"/>
        </w:rPr>
        <w:t>configured by SIB1</w:t>
      </w:r>
      <w:r>
        <w:rPr>
          <w:rFonts w:hint="eastAsia"/>
          <w:highlight w:val="none"/>
          <w:lang w:val="en-US" w:eastAsia="zh-CN"/>
        </w:rPr>
        <w:t>, and u</w:t>
      </w:r>
      <w:r>
        <w:rPr>
          <w:rFonts w:hint="eastAsia" w:eastAsiaTheme="minorEastAsia"/>
          <w:highlight w:val="none"/>
          <w:lang w:val="en-US" w:eastAsia="zh-CN"/>
        </w:rPr>
        <w:t xml:space="preserve">sing </w:t>
      </w:r>
      <w:r>
        <w:rPr>
          <w:rFonts w:hint="default" w:eastAsiaTheme="minorEastAsia"/>
          <w:highlight w:val="none"/>
          <w:lang w:val="en-US" w:eastAsia="zh-CN"/>
        </w:rPr>
        <w:t>‘</w:t>
      </w:r>
      <w:r>
        <w:rPr>
          <w:highlight w:val="none"/>
        </w:rPr>
        <w:t>PUSCH time resource allocation</w:t>
      </w:r>
      <w:r>
        <w:rPr>
          <w:rFonts w:hint="default" w:eastAsiaTheme="minorEastAsia"/>
          <w:highlight w:val="none"/>
          <w:lang w:val="en-US" w:eastAsia="zh-CN"/>
        </w:rPr>
        <w:t>’</w:t>
      </w:r>
      <w:r>
        <w:rPr>
          <w:rFonts w:hint="eastAsia" w:eastAsiaTheme="minorEastAsia"/>
          <w:highlight w:val="none"/>
          <w:lang w:val="en-US" w:eastAsia="zh-CN"/>
        </w:rPr>
        <w:t xml:space="preserve"> bit filed in UL RAR grant to indicate one row of TDRA table. In some extent, this may reduce the flexibility for indicting the time domain resources. However, the potential duration of each repetition in a slot is typically limited, (e.g., a large duration of 14 symbols) for coverage limited UEs. Thus, a 16-row TDRA table could be sufficient for Msg3 repetition. </w:t>
      </w:r>
    </w:p>
    <w:p>
      <w:pPr>
        <w:bidi w:val="0"/>
        <w:rPr>
          <w:rFonts w:hint="default" w:eastAsiaTheme="minorEastAsia"/>
          <w:highlight w:val="none"/>
          <w:lang w:val="en-US" w:eastAsia="zh-CN"/>
        </w:rPr>
      </w:pPr>
      <w:r>
        <w:rPr>
          <w:rFonts w:hint="eastAsia" w:eastAsiaTheme="minorEastAsia"/>
          <w:highlight w:val="none"/>
          <w:lang w:val="en-US" w:eastAsia="zh-CN"/>
        </w:rPr>
        <w:t xml:space="preserve">Regarding Alt 2 to use MCS information field, one concern raised in the last meeting is it may force gNB to schedule more PRBs using low MCS when scheduling Msg3 with large payload size. It would lower the transmission PSD while on the other hand could reduce the coding rate. To investigate the impact to the performance, evaluation comparison is conducted and the collection of results are shown in Table 1, Table 2 and Table 3. More detailed results and simulation assumptions could be found in Appendix - A. </w:t>
      </w:r>
    </w:p>
    <w:p>
      <w:pPr>
        <w:jc w:val="center"/>
        <w:rPr>
          <w:rFonts w:hint="default" w:eastAsia="宋体"/>
          <w:lang w:val="en-US" w:eastAsia="zh-CN"/>
        </w:rPr>
      </w:pPr>
      <w:r>
        <w:rPr>
          <w:rFonts w:hint="eastAsia" w:eastAsia="宋体"/>
          <w:lang w:val="en-US" w:eastAsia="zh-CN"/>
        </w:rPr>
        <w:t xml:space="preserve">Table 1. </w:t>
      </w:r>
      <w:r>
        <w:rPr>
          <w:rFonts w:hint="eastAsia"/>
          <w:lang w:val="en-US" w:eastAsia="zh-CN"/>
        </w:rPr>
        <w:t xml:space="preserve">The results for </w:t>
      </w:r>
      <w:r>
        <w:rPr>
          <w:rFonts w:hint="eastAsia" w:eastAsia="宋体"/>
          <w:lang w:val="en-US" w:eastAsia="zh-CN"/>
        </w:rPr>
        <w:t>TBsize 72 bits</w:t>
      </w:r>
    </w:p>
    <w:tbl>
      <w:tblPr>
        <w:tblStyle w:val="51"/>
        <w:tblW w:w="10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1082"/>
        <w:gridCol w:w="1238"/>
        <w:gridCol w:w="1400"/>
        <w:gridCol w:w="1175"/>
        <w:gridCol w:w="1275"/>
        <w:gridCol w:w="1438"/>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269" w:type="dxa"/>
            <w:vMerge w:val="restart"/>
            <w:vAlign w:val="center"/>
          </w:tcPr>
          <w:p>
            <w:pPr>
              <w:spacing w:before="120" w:line="280" w:lineRule="atLeast"/>
              <w:jc w:val="center"/>
              <w:rPr>
                <w:vertAlign w:val="baseline"/>
              </w:rPr>
            </w:pPr>
          </w:p>
        </w:tc>
        <w:tc>
          <w:tcPr>
            <w:tcW w:w="3720" w:type="dxa"/>
            <w:gridSpan w:val="3"/>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Option1</w:t>
            </w:r>
          </w:p>
        </w:tc>
        <w:tc>
          <w:tcPr>
            <w:tcW w:w="3888" w:type="dxa"/>
            <w:gridSpan w:val="3"/>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Option2</w:t>
            </w:r>
          </w:p>
        </w:tc>
        <w:tc>
          <w:tcPr>
            <w:tcW w:w="1804" w:type="dxa"/>
            <w:vMerge w:val="restart"/>
            <w:vAlign w:val="center"/>
          </w:tcPr>
          <w:p>
            <w:pPr>
              <w:spacing w:before="120" w:line="280" w:lineRule="atLeast"/>
              <w:jc w:val="center"/>
              <w:rPr>
                <w:rFonts w:hint="eastAsia"/>
                <w:vertAlign w:val="baseline"/>
                <w:lang w:val="en-US" w:eastAsia="zh-CN"/>
              </w:rPr>
            </w:pPr>
            <w:r>
              <w:rPr>
                <w:rFonts w:hint="eastAsia"/>
                <w:vertAlign w:val="baseline"/>
                <w:lang w:val="en-US" w:eastAsia="zh-CN"/>
              </w:rPr>
              <w:t xml:space="preserve">Link budget </w:t>
            </w:r>
          </w:p>
          <w:p>
            <w:pPr>
              <w:spacing w:before="120" w:line="280" w:lineRule="atLeast"/>
              <w:jc w:val="center"/>
              <w:rPr>
                <w:rFonts w:hint="default" w:eastAsia="宋体"/>
                <w:vertAlign w:val="baseline"/>
                <w:lang w:val="en-US" w:eastAsia="zh-CN"/>
              </w:rPr>
            </w:pPr>
            <w:r>
              <w:rPr>
                <w:rFonts w:hint="eastAsia"/>
                <w:vertAlign w:val="baseline"/>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9" w:type="dxa"/>
            <w:vMerge w:val="continue"/>
            <w:vAlign w:val="center"/>
          </w:tcPr>
          <w:p>
            <w:pPr>
              <w:spacing w:before="120" w:line="280" w:lineRule="atLeast"/>
              <w:jc w:val="center"/>
            </w:pPr>
          </w:p>
        </w:tc>
        <w:tc>
          <w:tcPr>
            <w:tcW w:w="1082"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(#of RBs, MCS)</w:t>
            </w:r>
          </w:p>
        </w:tc>
        <w:tc>
          <w:tcPr>
            <w:tcW w:w="1238"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Requi</w:t>
            </w:r>
            <w:r>
              <w:rPr>
                <w:rFonts w:hint="eastAsia"/>
                <w:vertAlign w:val="baseline"/>
                <w:lang w:val="en-US" w:eastAsia="zh-CN"/>
              </w:rPr>
              <w:t>red</w:t>
            </w:r>
            <w:r>
              <w:rPr>
                <w:rFonts w:hint="eastAsia" w:eastAsia="宋体"/>
                <w:vertAlign w:val="baseline"/>
                <w:lang w:val="en-US" w:eastAsia="zh-CN"/>
              </w:rPr>
              <w:t xml:space="preserve"> SNR</w:t>
            </w:r>
          </w:p>
        </w:tc>
        <w:tc>
          <w:tcPr>
            <w:tcW w:w="1400" w:type="dxa"/>
            <w:vAlign w:val="center"/>
          </w:tcPr>
          <w:p>
            <w:pPr>
              <w:spacing w:before="120" w:line="280" w:lineRule="atLeast"/>
              <w:jc w:val="center"/>
              <w:rPr>
                <w:rFonts w:hint="default" w:eastAsia="宋体"/>
                <w:vertAlign w:val="baseline"/>
                <w:lang w:val="en-US" w:eastAsia="zh-CN"/>
              </w:rPr>
            </w:pPr>
            <w:r>
              <w:rPr>
                <w:rFonts w:hint="eastAsia"/>
                <w:b w:val="0"/>
                <w:bCs/>
                <w:color w:val="000000"/>
                <w:sz w:val="20"/>
                <w:szCs w:val="20"/>
                <w:lang w:val="en-US" w:eastAsia="zh-CN"/>
              </w:rPr>
              <w:t>Power normalization to 1 PRB</w:t>
            </w:r>
          </w:p>
        </w:tc>
        <w:tc>
          <w:tcPr>
            <w:tcW w:w="1175"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(#of RBs, MCS)</w:t>
            </w:r>
          </w:p>
        </w:tc>
        <w:tc>
          <w:tcPr>
            <w:tcW w:w="1275"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Requi</w:t>
            </w:r>
            <w:r>
              <w:rPr>
                <w:rFonts w:hint="eastAsia"/>
                <w:vertAlign w:val="baseline"/>
                <w:lang w:val="en-US" w:eastAsia="zh-CN"/>
              </w:rPr>
              <w:t>red</w:t>
            </w:r>
            <w:r>
              <w:rPr>
                <w:rFonts w:hint="eastAsia" w:eastAsia="宋体"/>
                <w:vertAlign w:val="baseline"/>
                <w:lang w:val="en-US" w:eastAsia="zh-CN"/>
              </w:rPr>
              <w:t xml:space="preserve"> SNR</w:t>
            </w:r>
          </w:p>
        </w:tc>
        <w:tc>
          <w:tcPr>
            <w:tcW w:w="1438" w:type="dxa"/>
            <w:vAlign w:val="center"/>
          </w:tcPr>
          <w:p>
            <w:pPr>
              <w:spacing w:before="120" w:line="280" w:lineRule="atLeast"/>
              <w:jc w:val="center"/>
              <w:rPr>
                <w:rFonts w:hint="eastAsia"/>
                <w:b w:val="0"/>
                <w:bCs/>
                <w:color w:val="000000"/>
                <w:sz w:val="20"/>
                <w:szCs w:val="20"/>
                <w:lang w:val="en-US" w:eastAsia="zh-CN"/>
              </w:rPr>
            </w:pPr>
            <w:r>
              <w:rPr>
                <w:rFonts w:hint="eastAsia"/>
                <w:b w:val="0"/>
                <w:bCs/>
                <w:color w:val="000000"/>
                <w:sz w:val="20"/>
                <w:szCs w:val="20"/>
                <w:lang w:val="en-US" w:eastAsia="zh-CN"/>
              </w:rPr>
              <w:t>Power normalization to 1 PRB</w:t>
            </w:r>
          </w:p>
        </w:tc>
        <w:tc>
          <w:tcPr>
            <w:tcW w:w="1804" w:type="dxa"/>
            <w:vMerge w:val="continue"/>
            <w:vAlign w:val="center"/>
          </w:tcPr>
          <w:p>
            <w:pPr>
              <w:spacing w:before="120" w:line="280" w:lineRule="atLeast"/>
              <w:jc w:val="cente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4" w:hRule="atLeast"/>
          <w:jc w:val="center"/>
        </w:trPr>
        <w:tc>
          <w:tcPr>
            <w:tcW w:w="1269"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 xml:space="preserve">Rma, </w:t>
            </w:r>
            <w:r>
              <w:rPr>
                <w:rFonts w:hint="eastAsia" w:eastAsia="宋体"/>
                <w:vertAlign w:val="baseline"/>
                <w:lang w:val="en-US" w:eastAsia="zh-CN"/>
              </w:rPr>
              <w:t>L=14</w:t>
            </w:r>
          </w:p>
        </w:tc>
        <w:tc>
          <w:tcPr>
            <w:tcW w:w="1082"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(1 RB, MCS#4)</w:t>
            </w:r>
          </w:p>
        </w:tc>
        <w:tc>
          <w:tcPr>
            <w:tcW w:w="1238"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-8.</w:t>
            </w:r>
            <w:r>
              <w:rPr>
                <w:rFonts w:hint="eastAsia"/>
                <w:vertAlign w:val="baseline"/>
                <w:lang w:val="en-US" w:eastAsia="zh-CN"/>
              </w:rPr>
              <w:t>63</w:t>
            </w:r>
            <w:r>
              <w:rPr>
                <w:rFonts w:hint="eastAsia" w:eastAsia="宋体"/>
                <w:vertAlign w:val="baseline"/>
                <w:lang w:val="en-US" w:eastAsia="zh-CN"/>
              </w:rPr>
              <w:t xml:space="preserve"> dB</w:t>
            </w:r>
          </w:p>
        </w:tc>
        <w:tc>
          <w:tcPr>
            <w:tcW w:w="1400"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-8.</w:t>
            </w:r>
            <w:r>
              <w:rPr>
                <w:rFonts w:hint="eastAsia"/>
                <w:vertAlign w:val="baseline"/>
                <w:lang w:val="en-US" w:eastAsia="zh-CN"/>
              </w:rPr>
              <w:t>63</w:t>
            </w:r>
            <w:r>
              <w:rPr>
                <w:rFonts w:hint="eastAsia" w:eastAsia="宋体"/>
                <w:vertAlign w:val="baseline"/>
                <w:lang w:val="en-US" w:eastAsia="zh-CN"/>
              </w:rPr>
              <w:t xml:space="preserve"> dB</w:t>
            </w:r>
          </w:p>
        </w:tc>
        <w:tc>
          <w:tcPr>
            <w:tcW w:w="1175"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(2 RBs, MCS#1)</w:t>
            </w:r>
          </w:p>
        </w:tc>
        <w:tc>
          <w:tcPr>
            <w:tcW w:w="1275"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-1</w:t>
            </w:r>
            <w:r>
              <w:rPr>
                <w:rFonts w:hint="eastAsia"/>
                <w:vertAlign w:val="baseline"/>
                <w:lang w:val="en-US" w:eastAsia="zh-CN"/>
              </w:rPr>
              <w:t>1.3</w:t>
            </w:r>
            <w:r>
              <w:rPr>
                <w:rFonts w:hint="eastAsia" w:eastAsia="宋体"/>
                <w:vertAlign w:val="baseline"/>
                <w:lang w:val="en-US" w:eastAsia="zh-CN"/>
              </w:rPr>
              <w:t xml:space="preserve"> dB</w:t>
            </w:r>
          </w:p>
        </w:tc>
        <w:tc>
          <w:tcPr>
            <w:tcW w:w="1438"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w:t>
            </w:r>
            <w:r>
              <w:rPr>
                <w:rFonts w:hint="eastAsia"/>
                <w:vertAlign w:val="baseline"/>
                <w:lang w:val="en-US" w:eastAsia="zh-CN"/>
              </w:rPr>
              <w:t>8.29</w:t>
            </w:r>
            <w:r>
              <w:rPr>
                <w:rFonts w:hint="eastAsia" w:eastAsia="宋体"/>
                <w:vertAlign w:val="baseline"/>
                <w:lang w:val="en-US" w:eastAsia="zh-CN"/>
              </w:rPr>
              <w:t xml:space="preserve"> dB</w:t>
            </w:r>
          </w:p>
        </w:tc>
        <w:tc>
          <w:tcPr>
            <w:tcW w:w="1804"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0.3</w:t>
            </w:r>
            <w:r>
              <w:rPr>
                <w:rFonts w:hint="eastAsia"/>
                <w:vertAlign w:val="baseline"/>
                <w:lang w:val="en-US" w:eastAsia="zh-CN"/>
              </w:rPr>
              <w:t>4</w:t>
            </w:r>
            <w:r>
              <w:rPr>
                <w:rFonts w:hint="eastAsia" w:eastAsia="宋体"/>
                <w:vertAlign w:val="baseline"/>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269"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 xml:space="preserve">Rma, </w:t>
            </w:r>
            <w:r>
              <w:rPr>
                <w:rFonts w:hint="eastAsia" w:eastAsia="宋体"/>
                <w:vertAlign w:val="baseline"/>
                <w:lang w:val="en-US" w:eastAsia="zh-CN"/>
              </w:rPr>
              <w:t>L=12</w:t>
            </w:r>
          </w:p>
        </w:tc>
        <w:tc>
          <w:tcPr>
            <w:tcW w:w="1082"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(1 RB, MCS#5)</w:t>
            </w:r>
          </w:p>
        </w:tc>
        <w:tc>
          <w:tcPr>
            <w:tcW w:w="1238"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-7.</w:t>
            </w:r>
            <w:r>
              <w:rPr>
                <w:rFonts w:hint="eastAsia"/>
                <w:vertAlign w:val="baseline"/>
                <w:lang w:val="en-US" w:eastAsia="zh-CN"/>
              </w:rPr>
              <w:t>98</w:t>
            </w:r>
            <w:r>
              <w:rPr>
                <w:rFonts w:hint="eastAsia" w:eastAsia="宋体"/>
                <w:vertAlign w:val="baseline"/>
                <w:lang w:val="en-US" w:eastAsia="zh-CN"/>
              </w:rPr>
              <w:t xml:space="preserve"> dB</w:t>
            </w:r>
          </w:p>
        </w:tc>
        <w:tc>
          <w:tcPr>
            <w:tcW w:w="1400"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-7.</w:t>
            </w:r>
            <w:r>
              <w:rPr>
                <w:rFonts w:hint="eastAsia"/>
                <w:vertAlign w:val="baseline"/>
                <w:lang w:val="en-US" w:eastAsia="zh-CN"/>
              </w:rPr>
              <w:t>98</w:t>
            </w:r>
            <w:r>
              <w:rPr>
                <w:rFonts w:hint="eastAsia" w:eastAsia="宋体"/>
                <w:vertAlign w:val="baseline"/>
                <w:lang w:val="en-US" w:eastAsia="zh-CN"/>
              </w:rPr>
              <w:t xml:space="preserve"> dB</w:t>
            </w:r>
          </w:p>
        </w:tc>
        <w:tc>
          <w:tcPr>
            <w:tcW w:w="1175" w:type="dxa"/>
            <w:vAlign w:val="center"/>
          </w:tcPr>
          <w:p>
            <w:pPr>
              <w:spacing w:before="120" w:line="280" w:lineRule="atLeast"/>
              <w:jc w:val="center"/>
              <w:rPr>
                <w:rFonts w:hint="eastAsia" w:eastAsia="宋体"/>
                <w:highlight w:val="none"/>
                <w:vertAlign w:val="baseline"/>
                <w:lang w:val="en-US" w:eastAsia="zh-CN"/>
              </w:rPr>
            </w:pPr>
            <w:r>
              <w:rPr>
                <w:rFonts w:hint="eastAsia"/>
                <w:highlight w:val="none"/>
                <w:vertAlign w:val="baseline"/>
                <w:lang w:val="en-US" w:eastAsia="zh-CN"/>
              </w:rPr>
              <w:t>(3 RBs, MCS#0)</w:t>
            </w:r>
          </w:p>
        </w:tc>
        <w:tc>
          <w:tcPr>
            <w:tcW w:w="1275"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-12.</w:t>
            </w:r>
            <w:r>
              <w:rPr>
                <w:rFonts w:hint="eastAsia"/>
                <w:vertAlign w:val="baseline"/>
                <w:lang w:val="en-US" w:eastAsia="zh-CN"/>
              </w:rPr>
              <w:t>11</w:t>
            </w:r>
            <w:r>
              <w:rPr>
                <w:rFonts w:hint="eastAsia" w:eastAsia="宋体"/>
                <w:vertAlign w:val="baseline"/>
                <w:lang w:val="en-US" w:eastAsia="zh-CN"/>
              </w:rPr>
              <w:t xml:space="preserve"> dB</w:t>
            </w:r>
          </w:p>
        </w:tc>
        <w:tc>
          <w:tcPr>
            <w:tcW w:w="1438"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w:t>
            </w:r>
            <w:r>
              <w:rPr>
                <w:rFonts w:hint="eastAsia"/>
                <w:vertAlign w:val="baseline"/>
                <w:lang w:val="en-US" w:eastAsia="zh-CN"/>
              </w:rPr>
              <w:t>7.33</w:t>
            </w:r>
            <w:r>
              <w:rPr>
                <w:rFonts w:hint="eastAsia" w:eastAsia="宋体"/>
                <w:vertAlign w:val="baseline"/>
                <w:lang w:val="en-US" w:eastAsia="zh-CN"/>
              </w:rPr>
              <w:t xml:space="preserve"> dB</w:t>
            </w:r>
          </w:p>
        </w:tc>
        <w:tc>
          <w:tcPr>
            <w:tcW w:w="1804"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0.65</w:t>
            </w:r>
            <w:r>
              <w:rPr>
                <w:rFonts w:hint="eastAsia" w:eastAsia="宋体"/>
                <w:vertAlign w:val="baseline"/>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269"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Uma, </w:t>
            </w:r>
            <w:r>
              <w:rPr>
                <w:rFonts w:hint="eastAsia" w:eastAsia="宋体"/>
                <w:vertAlign w:val="baseline"/>
                <w:lang w:val="en-US" w:eastAsia="zh-CN"/>
              </w:rPr>
              <w:t>L=14</w:t>
            </w:r>
          </w:p>
        </w:tc>
        <w:tc>
          <w:tcPr>
            <w:tcW w:w="1082" w:type="dxa"/>
            <w:vAlign w:val="center"/>
          </w:tcPr>
          <w:p>
            <w:pPr>
              <w:spacing w:before="120" w:line="280" w:lineRule="atLeast"/>
              <w:jc w:val="center"/>
              <w:rPr>
                <w:rFonts w:hint="eastAsia"/>
                <w:vertAlign w:val="baseline"/>
                <w:lang w:val="en-US" w:eastAsia="zh-CN"/>
              </w:rPr>
            </w:pPr>
            <w:r>
              <w:rPr>
                <w:rFonts w:hint="eastAsia"/>
                <w:vertAlign w:val="baseline"/>
                <w:lang w:val="en-US" w:eastAsia="zh-CN"/>
              </w:rPr>
              <w:t>(1 RB, MCS#4)</w:t>
            </w:r>
          </w:p>
        </w:tc>
        <w:tc>
          <w:tcPr>
            <w:tcW w:w="1238"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-8.8 dB</w:t>
            </w:r>
          </w:p>
        </w:tc>
        <w:tc>
          <w:tcPr>
            <w:tcW w:w="1400"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-8.8 dB</w:t>
            </w:r>
          </w:p>
        </w:tc>
        <w:tc>
          <w:tcPr>
            <w:tcW w:w="1175"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(2 RBs, MCS#1)</w:t>
            </w:r>
          </w:p>
        </w:tc>
        <w:tc>
          <w:tcPr>
            <w:tcW w:w="1275"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-11.9 dB</w:t>
            </w:r>
          </w:p>
        </w:tc>
        <w:tc>
          <w:tcPr>
            <w:tcW w:w="1438"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-8.89 dB</w:t>
            </w:r>
          </w:p>
        </w:tc>
        <w:tc>
          <w:tcPr>
            <w:tcW w:w="1804"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-0.09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269"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Uma, </w:t>
            </w:r>
            <w:r>
              <w:rPr>
                <w:rFonts w:hint="eastAsia" w:eastAsia="宋体"/>
                <w:vertAlign w:val="baseline"/>
                <w:lang w:val="en-US" w:eastAsia="zh-CN"/>
              </w:rPr>
              <w:t>L=12</w:t>
            </w:r>
          </w:p>
        </w:tc>
        <w:tc>
          <w:tcPr>
            <w:tcW w:w="1082" w:type="dxa"/>
            <w:vAlign w:val="center"/>
          </w:tcPr>
          <w:p>
            <w:pPr>
              <w:spacing w:before="120" w:line="280" w:lineRule="atLeast"/>
              <w:jc w:val="center"/>
              <w:rPr>
                <w:rFonts w:hint="eastAsia"/>
                <w:vertAlign w:val="baseline"/>
                <w:lang w:val="en-US" w:eastAsia="zh-CN"/>
              </w:rPr>
            </w:pPr>
            <w:r>
              <w:rPr>
                <w:rFonts w:hint="eastAsia"/>
                <w:vertAlign w:val="baseline"/>
                <w:lang w:val="en-US" w:eastAsia="zh-CN"/>
              </w:rPr>
              <w:t>(1 RB, MCS#5)</w:t>
            </w:r>
          </w:p>
        </w:tc>
        <w:tc>
          <w:tcPr>
            <w:tcW w:w="1238"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-8.15 dB</w:t>
            </w:r>
          </w:p>
        </w:tc>
        <w:tc>
          <w:tcPr>
            <w:tcW w:w="1400"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-8.15 dB</w:t>
            </w:r>
          </w:p>
        </w:tc>
        <w:tc>
          <w:tcPr>
            <w:tcW w:w="1175" w:type="dxa"/>
            <w:vAlign w:val="center"/>
          </w:tcPr>
          <w:p>
            <w:pPr>
              <w:spacing w:before="120" w:line="280" w:lineRule="atLeast"/>
              <w:jc w:val="center"/>
              <w:rPr>
                <w:rFonts w:hint="eastAsia" w:ascii="Times New Roman" w:hAnsi="Times New Roman" w:eastAsia="宋体" w:cs="Times New Roman"/>
                <w:highlight w:val="none"/>
                <w:vertAlign w:val="baseline"/>
                <w:lang w:val="en-US" w:eastAsia="zh-CN" w:bidi="ar-SA"/>
              </w:rPr>
            </w:pPr>
            <w:r>
              <w:rPr>
                <w:rFonts w:hint="eastAsia"/>
                <w:highlight w:val="none"/>
                <w:vertAlign w:val="baseline"/>
                <w:lang w:val="en-US" w:eastAsia="zh-CN"/>
              </w:rPr>
              <w:t>(3 RBs, MCS#0)</w:t>
            </w:r>
          </w:p>
        </w:tc>
        <w:tc>
          <w:tcPr>
            <w:tcW w:w="1275"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-12.63 dB</w:t>
            </w:r>
          </w:p>
        </w:tc>
        <w:tc>
          <w:tcPr>
            <w:tcW w:w="1438"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-7.86 dB</w:t>
            </w:r>
          </w:p>
        </w:tc>
        <w:tc>
          <w:tcPr>
            <w:tcW w:w="1804"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0.29 dB</w:t>
            </w:r>
          </w:p>
        </w:tc>
      </w:tr>
    </w:tbl>
    <w:p>
      <w:pPr>
        <w:jc w:val="center"/>
      </w:pPr>
    </w:p>
    <w:p>
      <w:pPr>
        <w:jc w:val="center"/>
        <w:rPr>
          <w:rFonts w:hint="default" w:eastAsia="宋体"/>
          <w:lang w:val="en-US" w:eastAsia="zh-CN"/>
        </w:rPr>
      </w:pPr>
      <w:r>
        <w:rPr>
          <w:rFonts w:hint="eastAsia" w:eastAsia="宋体"/>
          <w:lang w:val="en-US" w:eastAsia="zh-CN"/>
        </w:rPr>
        <w:t xml:space="preserve">Table 2. </w:t>
      </w:r>
      <w:r>
        <w:rPr>
          <w:rFonts w:hint="eastAsia"/>
          <w:lang w:val="en-US" w:eastAsia="zh-CN"/>
        </w:rPr>
        <w:t xml:space="preserve">The results for </w:t>
      </w:r>
      <w:r>
        <w:rPr>
          <w:rFonts w:hint="eastAsia" w:eastAsia="宋体"/>
          <w:lang w:val="en-US" w:eastAsia="zh-CN"/>
        </w:rPr>
        <w:t>TBsize 144 bits</w:t>
      </w:r>
    </w:p>
    <w:tbl>
      <w:tblPr>
        <w:tblStyle w:val="51"/>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100"/>
        <w:gridCol w:w="1270"/>
        <w:gridCol w:w="1373"/>
        <w:gridCol w:w="1150"/>
        <w:gridCol w:w="1292"/>
        <w:gridCol w:w="146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1255" w:type="dxa"/>
            <w:vMerge w:val="restart"/>
            <w:vAlign w:val="center"/>
          </w:tcPr>
          <w:p>
            <w:pPr>
              <w:spacing w:before="120" w:line="280" w:lineRule="atLeast"/>
              <w:jc w:val="center"/>
              <w:rPr>
                <w:vertAlign w:val="baseline"/>
              </w:rPr>
            </w:pPr>
          </w:p>
        </w:tc>
        <w:tc>
          <w:tcPr>
            <w:tcW w:w="3743" w:type="dxa"/>
            <w:gridSpan w:val="3"/>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Option1</w:t>
            </w:r>
          </w:p>
        </w:tc>
        <w:tc>
          <w:tcPr>
            <w:tcW w:w="3907" w:type="dxa"/>
            <w:gridSpan w:val="3"/>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Option2</w:t>
            </w:r>
          </w:p>
        </w:tc>
        <w:tc>
          <w:tcPr>
            <w:tcW w:w="1800" w:type="dxa"/>
            <w:vMerge w:val="restart"/>
            <w:vAlign w:val="center"/>
          </w:tcPr>
          <w:p>
            <w:pPr>
              <w:spacing w:before="120" w:line="280" w:lineRule="atLeast"/>
              <w:jc w:val="center"/>
              <w:rPr>
                <w:rFonts w:hint="eastAsia"/>
                <w:vertAlign w:val="baseline"/>
                <w:lang w:val="en-US" w:eastAsia="zh-CN"/>
              </w:rPr>
            </w:pPr>
            <w:r>
              <w:rPr>
                <w:rFonts w:hint="eastAsia"/>
                <w:vertAlign w:val="baseline"/>
                <w:lang w:val="en-US" w:eastAsia="zh-CN"/>
              </w:rPr>
              <w:t xml:space="preserve">Link budget </w:t>
            </w:r>
          </w:p>
          <w:p>
            <w:pPr>
              <w:spacing w:before="120" w:line="280" w:lineRule="atLeast"/>
              <w:jc w:val="center"/>
              <w:rPr>
                <w:rFonts w:hint="default" w:eastAsia="宋体"/>
                <w:vertAlign w:val="baseline"/>
                <w:lang w:val="en-US" w:eastAsia="zh-CN"/>
              </w:rPr>
            </w:pPr>
            <w:r>
              <w:rPr>
                <w:rFonts w:hint="eastAsia"/>
                <w:vertAlign w:val="baseline"/>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1255" w:type="dxa"/>
            <w:vMerge w:val="continue"/>
            <w:vAlign w:val="center"/>
          </w:tcPr>
          <w:p>
            <w:pPr>
              <w:spacing w:before="120" w:line="280" w:lineRule="atLeast"/>
              <w:jc w:val="center"/>
            </w:pPr>
          </w:p>
        </w:tc>
        <w:tc>
          <w:tcPr>
            <w:tcW w:w="1100" w:type="dxa"/>
            <w:vAlign w:val="center"/>
          </w:tcPr>
          <w:p>
            <w:pPr>
              <w:spacing w:before="120" w:line="280" w:lineRule="atLeast"/>
              <w:jc w:val="center"/>
            </w:pPr>
            <w:r>
              <w:rPr>
                <w:rFonts w:hint="eastAsia"/>
                <w:vertAlign w:val="baseline"/>
                <w:lang w:val="en-US" w:eastAsia="zh-CN"/>
              </w:rPr>
              <w:t>(#of RBs, MCS)</w:t>
            </w:r>
          </w:p>
        </w:tc>
        <w:tc>
          <w:tcPr>
            <w:tcW w:w="1270"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Requi</w:t>
            </w:r>
            <w:r>
              <w:rPr>
                <w:rFonts w:hint="eastAsia"/>
                <w:vertAlign w:val="baseline"/>
                <w:lang w:val="en-US" w:eastAsia="zh-CN"/>
              </w:rPr>
              <w:t>red</w:t>
            </w:r>
            <w:r>
              <w:rPr>
                <w:rFonts w:hint="eastAsia" w:eastAsia="宋体"/>
                <w:vertAlign w:val="baseline"/>
                <w:lang w:val="en-US" w:eastAsia="zh-CN"/>
              </w:rPr>
              <w:t xml:space="preserve"> SNR</w:t>
            </w:r>
          </w:p>
        </w:tc>
        <w:tc>
          <w:tcPr>
            <w:tcW w:w="1373" w:type="dxa"/>
            <w:vAlign w:val="center"/>
          </w:tcPr>
          <w:p>
            <w:pPr>
              <w:spacing w:before="120" w:line="280" w:lineRule="atLeast"/>
              <w:jc w:val="center"/>
              <w:rPr>
                <w:rFonts w:hint="default" w:eastAsia="宋体"/>
                <w:vertAlign w:val="baseline"/>
                <w:lang w:val="en-US" w:eastAsia="zh-CN"/>
              </w:rPr>
            </w:pPr>
            <w:r>
              <w:rPr>
                <w:rFonts w:hint="eastAsia"/>
                <w:b w:val="0"/>
                <w:bCs/>
                <w:color w:val="000000"/>
                <w:sz w:val="20"/>
                <w:szCs w:val="20"/>
                <w:lang w:val="en-US" w:eastAsia="zh-CN"/>
              </w:rPr>
              <w:t xml:space="preserve">Power normalization to 1 PRB </w:t>
            </w:r>
          </w:p>
        </w:tc>
        <w:tc>
          <w:tcPr>
            <w:tcW w:w="1150"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(#of RBs, MCS)</w:t>
            </w:r>
          </w:p>
        </w:tc>
        <w:tc>
          <w:tcPr>
            <w:tcW w:w="1292"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Requi</w:t>
            </w:r>
            <w:r>
              <w:rPr>
                <w:rFonts w:hint="eastAsia"/>
                <w:vertAlign w:val="baseline"/>
                <w:lang w:val="en-US" w:eastAsia="zh-CN"/>
              </w:rPr>
              <w:t>red</w:t>
            </w:r>
            <w:r>
              <w:rPr>
                <w:rFonts w:hint="eastAsia" w:eastAsia="宋体"/>
                <w:vertAlign w:val="baseline"/>
                <w:lang w:val="en-US" w:eastAsia="zh-CN"/>
              </w:rPr>
              <w:t xml:space="preserve"> SNR</w:t>
            </w:r>
          </w:p>
        </w:tc>
        <w:tc>
          <w:tcPr>
            <w:tcW w:w="1465" w:type="dxa"/>
            <w:vAlign w:val="center"/>
          </w:tcPr>
          <w:p>
            <w:pPr>
              <w:spacing w:before="120" w:line="280" w:lineRule="atLeast"/>
              <w:jc w:val="center"/>
              <w:rPr>
                <w:rFonts w:hint="eastAsia" w:eastAsia="宋体"/>
                <w:vertAlign w:val="baseline"/>
                <w:lang w:val="en-US" w:eastAsia="zh-CN"/>
              </w:rPr>
            </w:pPr>
            <w:r>
              <w:rPr>
                <w:rFonts w:hint="eastAsia"/>
                <w:b w:val="0"/>
                <w:bCs/>
                <w:color w:val="000000"/>
                <w:sz w:val="20"/>
                <w:szCs w:val="20"/>
                <w:lang w:val="en-US" w:eastAsia="zh-CN"/>
              </w:rPr>
              <w:t>Power normalization to 1 PRB</w:t>
            </w:r>
          </w:p>
        </w:tc>
        <w:tc>
          <w:tcPr>
            <w:tcW w:w="1800" w:type="dxa"/>
            <w:vMerge w:val="continue"/>
            <w:vAlign w:val="center"/>
          </w:tcPr>
          <w:p>
            <w:pPr>
              <w:spacing w:before="120" w:line="280" w:lineRule="atLeast"/>
              <w:jc w:val="cente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255"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 xml:space="preserve">Rma, </w:t>
            </w:r>
            <w:r>
              <w:rPr>
                <w:rFonts w:hint="eastAsia" w:eastAsia="宋体"/>
                <w:vertAlign w:val="baseline"/>
                <w:lang w:val="en-US" w:eastAsia="zh-CN"/>
              </w:rPr>
              <w:t>L=14</w:t>
            </w:r>
          </w:p>
        </w:tc>
        <w:tc>
          <w:tcPr>
            <w:tcW w:w="1100" w:type="dxa"/>
            <w:vAlign w:val="center"/>
          </w:tcPr>
          <w:p>
            <w:pPr>
              <w:spacing w:before="120" w:line="280" w:lineRule="atLeast"/>
              <w:jc w:val="center"/>
              <w:rPr>
                <w:rFonts w:hint="eastAsia"/>
                <w:vertAlign w:val="baseline"/>
                <w:lang w:val="en-US" w:eastAsia="zh-CN"/>
              </w:rPr>
            </w:pPr>
            <w:r>
              <w:rPr>
                <w:rFonts w:hint="eastAsia"/>
                <w:vertAlign w:val="baseline"/>
                <w:lang w:val="en-US" w:eastAsia="zh-CN"/>
              </w:rPr>
              <w:t>(2 RBs, MCS#4)</w:t>
            </w:r>
          </w:p>
        </w:tc>
        <w:tc>
          <w:tcPr>
            <w:tcW w:w="1270"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-8.</w:t>
            </w:r>
            <w:r>
              <w:rPr>
                <w:rFonts w:hint="eastAsia"/>
                <w:vertAlign w:val="baseline"/>
                <w:lang w:val="en-US" w:eastAsia="zh-CN"/>
              </w:rPr>
              <w:t>79</w:t>
            </w:r>
            <w:r>
              <w:rPr>
                <w:rFonts w:hint="eastAsia" w:eastAsia="宋体"/>
                <w:vertAlign w:val="baseline"/>
                <w:lang w:val="en-US" w:eastAsia="zh-CN"/>
              </w:rPr>
              <w:t xml:space="preserve"> dB</w:t>
            </w:r>
          </w:p>
        </w:tc>
        <w:tc>
          <w:tcPr>
            <w:tcW w:w="1373"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w:t>
            </w:r>
            <w:r>
              <w:rPr>
                <w:rFonts w:hint="eastAsia"/>
                <w:vertAlign w:val="baseline"/>
                <w:lang w:val="en-US" w:eastAsia="zh-CN"/>
              </w:rPr>
              <w:t>5.78</w:t>
            </w:r>
            <w:r>
              <w:rPr>
                <w:rFonts w:hint="eastAsia" w:eastAsia="宋体"/>
                <w:vertAlign w:val="baseline"/>
                <w:lang w:val="en-US" w:eastAsia="zh-CN"/>
              </w:rPr>
              <w:t xml:space="preserve"> dB</w:t>
            </w:r>
          </w:p>
        </w:tc>
        <w:tc>
          <w:tcPr>
            <w:tcW w:w="1150"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(4 RBs, MCS#1)</w:t>
            </w:r>
          </w:p>
        </w:tc>
        <w:tc>
          <w:tcPr>
            <w:tcW w:w="1292"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w:t>
            </w:r>
            <w:r>
              <w:rPr>
                <w:rFonts w:hint="eastAsia"/>
                <w:vertAlign w:val="baseline"/>
                <w:lang w:val="en-US" w:eastAsia="zh-CN"/>
              </w:rPr>
              <w:t>11.41</w:t>
            </w:r>
            <w:r>
              <w:rPr>
                <w:rFonts w:hint="eastAsia" w:eastAsia="宋体"/>
                <w:vertAlign w:val="baseline"/>
                <w:lang w:val="en-US" w:eastAsia="zh-CN"/>
              </w:rPr>
              <w:t xml:space="preserve"> dB</w:t>
            </w:r>
          </w:p>
        </w:tc>
        <w:tc>
          <w:tcPr>
            <w:tcW w:w="1465"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w:t>
            </w:r>
            <w:r>
              <w:rPr>
                <w:rFonts w:hint="eastAsia"/>
                <w:vertAlign w:val="baseline"/>
                <w:lang w:val="en-US" w:eastAsia="zh-CN"/>
              </w:rPr>
              <w:t>5.39</w:t>
            </w:r>
            <w:r>
              <w:rPr>
                <w:rFonts w:hint="eastAsia" w:eastAsia="宋体"/>
                <w:vertAlign w:val="baseline"/>
                <w:lang w:val="en-US" w:eastAsia="zh-CN"/>
              </w:rPr>
              <w:t xml:space="preserve"> dB</w:t>
            </w:r>
          </w:p>
        </w:tc>
        <w:tc>
          <w:tcPr>
            <w:tcW w:w="1800"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0.3</w:t>
            </w:r>
            <w:r>
              <w:rPr>
                <w:rFonts w:hint="eastAsia"/>
                <w:vertAlign w:val="baseline"/>
                <w:lang w:val="en-US" w:eastAsia="zh-CN"/>
              </w:rPr>
              <w:t>9</w:t>
            </w:r>
            <w:r>
              <w:rPr>
                <w:rFonts w:hint="eastAsia" w:eastAsia="宋体"/>
                <w:vertAlign w:val="baseline"/>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5"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 xml:space="preserve">Rma, </w:t>
            </w:r>
            <w:r>
              <w:rPr>
                <w:rFonts w:hint="eastAsia" w:eastAsia="宋体"/>
                <w:vertAlign w:val="baseline"/>
                <w:lang w:val="en-US" w:eastAsia="zh-CN"/>
              </w:rPr>
              <w:t>L=12</w:t>
            </w:r>
          </w:p>
        </w:tc>
        <w:tc>
          <w:tcPr>
            <w:tcW w:w="1100" w:type="dxa"/>
            <w:vAlign w:val="center"/>
          </w:tcPr>
          <w:p>
            <w:pPr>
              <w:spacing w:before="120" w:line="280" w:lineRule="atLeast"/>
              <w:jc w:val="center"/>
              <w:rPr>
                <w:rFonts w:hint="eastAsia"/>
                <w:vertAlign w:val="baseline"/>
                <w:lang w:val="en-US" w:eastAsia="zh-CN"/>
              </w:rPr>
            </w:pPr>
            <w:r>
              <w:rPr>
                <w:rFonts w:hint="eastAsia"/>
                <w:vertAlign w:val="baseline"/>
                <w:lang w:val="en-US" w:eastAsia="zh-CN"/>
              </w:rPr>
              <w:t>(1 RB, MCS#5)</w:t>
            </w:r>
          </w:p>
        </w:tc>
        <w:tc>
          <w:tcPr>
            <w:tcW w:w="1270"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-7.</w:t>
            </w:r>
            <w:r>
              <w:rPr>
                <w:rFonts w:hint="eastAsia"/>
                <w:vertAlign w:val="baseline"/>
                <w:lang w:val="en-US" w:eastAsia="zh-CN"/>
              </w:rPr>
              <w:t>99</w:t>
            </w:r>
            <w:r>
              <w:rPr>
                <w:rFonts w:hint="eastAsia" w:eastAsia="宋体"/>
                <w:vertAlign w:val="baseline"/>
                <w:lang w:val="en-US" w:eastAsia="zh-CN"/>
              </w:rPr>
              <w:t xml:space="preserve"> dB</w:t>
            </w:r>
          </w:p>
        </w:tc>
        <w:tc>
          <w:tcPr>
            <w:tcW w:w="1373"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-4.</w:t>
            </w:r>
            <w:r>
              <w:rPr>
                <w:rFonts w:hint="eastAsia"/>
                <w:vertAlign w:val="baseline"/>
                <w:lang w:val="en-US" w:eastAsia="zh-CN"/>
              </w:rPr>
              <w:t>97</w:t>
            </w:r>
            <w:r>
              <w:rPr>
                <w:rFonts w:hint="eastAsia" w:eastAsia="宋体"/>
                <w:vertAlign w:val="baseline"/>
                <w:lang w:val="en-US" w:eastAsia="zh-CN"/>
              </w:rPr>
              <w:t xml:space="preserve"> dB</w:t>
            </w:r>
          </w:p>
        </w:tc>
        <w:tc>
          <w:tcPr>
            <w:tcW w:w="1150"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(3 RBs, MCS#0)</w:t>
            </w:r>
          </w:p>
        </w:tc>
        <w:tc>
          <w:tcPr>
            <w:tcW w:w="1292"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-12.</w:t>
            </w:r>
            <w:r>
              <w:rPr>
                <w:rFonts w:hint="eastAsia"/>
                <w:vertAlign w:val="baseline"/>
                <w:lang w:val="en-US" w:eastAsia="zh-CN"/>
              </w:rPr>
              <w:t>38</w:t>
            </w:r>
            <w:r>
              <w:rPr>
                <w:rFonts w:hint="eastAsia" w:eastAsia="宋体"/>
                <w:vertAlign w:val="baseline"/>
                <w:lang w:val="en-US" w:eastAsia="zh-CN"/>
              </w:rPr>
              <w:t xml:space="preserve"> dB</w:t>
            </w:r>
          </w:p>
        </w:tc>
        <w:tc>
          <w:tcPr>
            <w:tcW w:w="1465"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-4.</w:t>
            </w:r>
            <w:r>
              <w:rPr>
                <w:rFonts w:hint="eastAsia"/>
                <w:vertAlign w:val="baseline"/>
                <w:lang w:val="en-US" w:eastAsia="zh-CN"/>
              </w:rPr>
              <w:t>6</w:t>
            </w:r>
            <w:r>
              <w:rPr>
                <w:rFonts w:hint="eastAsia" w:eastAsia="宋体"/>
                <w:vertAlign w:val="baseline"/>
                <w:lang w:val="en-US" w:eastAsia="zh-CN"/>
              </w:rPr>
              <w:t xml:space="preserve"> dB</w:t>
            </w:r>
          </w:p>
        </w:tc>
        <w:tc>
          <w:tcPr>
            <w:tcW w:w="1800" w:type="dxa"/>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0.</w:t>
            </w:r>
            <w:r>
              <w:rPr>
                <w:rFonts w:hint="eastAsia"/>
                <w:vertAlign w:val="baseline"/>
                <w:lang w:val="en-US" w:eastAsia="zh-CN"/>
              </w:rPr>
              <w:t>37</w:t>
            </w:r>
            <w:r>
              <w:rPr>
                <w:rFonts w:hint="eastAsia" w:eastAsia="宋体"/>
                <w:vertAlign w:val="baseline"/>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5"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 xml:space="preserve">Uma, </w:t>
            </w:r>
            <w:r>
              <w:rPr>
                <w:rFonts w:hint="eastAsia" w:eastAsia="宋体"/>
                <w:vertAlign w:val="baseline"/>
                <w:lang w:val="en-US" w:eastAsia="zh-CN"/>
              </w:rPr>
              <w:t>L=14</w:t>
            </w:r>
          </w:p>
        </w:tc>
        <w:tc>
          <w:tcPr>
            <w:tcW w:w="1100"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(2 RBs, MCS#4)</w:t>
            </w:r>
          </w:p>
        </w:tc>
        <w:tc>
          <w:tcPr>
            <w:tcW w:w="1270"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-9.18 dB</w:t>
            </w:r>
          </w:p>
        </w:tc>
        <w:tc>
          <w:tcPr>
            <w:tcW w:w="1373"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-6.16 dB</w:t>
            </w:r>
          </w:p>
        </w:tc>
        <w:tc>
          <w:tcPr>
            <w:tcW w:w="1150"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(4 RBs, MCS#1)</w:t>
            </w:r>
          </w:p>
        </w:tc>
        <w:tc>
          <w:tcPr>
            <w:tcW w:w="1292"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-11.9 dB</w:t>
            </w:r>
          </w:p>
        </w:tc>
        <w:tc>
          <w:tcPr>
            <w:tcW w:w="1465"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-5.87 dB</w:t>
            </w:r>
          </w:p>
        </w:tc>
        <w:tc>
          <w:tcPr>
            <w:tcW w:w="1800"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0.29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5"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 xml:space="preserve">Uma, </w:t>
            </w:r>
            <w:r>
              <w:rPr>
                <w:rFonts w:hint="eastAsia" w:eastAsia="宋体"/>
                <w:vertAlign w:val="baseline"/>
                <w:lang w:val="en-US" w:eastAsia="zh-CN"/>
              </w:rPr>
              <w:t>L=12</w:t>
            </w:r>
          </w:p>
        </w:tc>
        <w:tc>
          <w:tcPr>
            <w:tcW w:w="1100"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(1 RB, MCS#5)</w:t>
            </w:r>
          </w:p>
        </w:tc>
        <w:tc>
          <w:tcPr>
            <w:tcW w:w="1270"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-8.51 dB</w:t>
            </w:r>
          </w:p>
        </w:tc>
        <w:tc>
          <w:tcPr>
            <w:tcW w:w="1373"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-5.5 dB</w:t>
            </w:r>
          </w:p>
        </w:tc>
        <w:tc>
          <w:tcPr>
            <w:tcW w:w="1150"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(3 RBs, MCS#0)</w:t>
            </w:r>
          </w:p>
        </w:tc>
        <w:tc>
          <w:tcPr>
            <w:tcW w:w="1292"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-12.63 dB</w:t>
            </w:r>
          </w:p>
        </w:tc>
        <w:tc>
          <w:tcPr>
            <w:tcW w:w="1465"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-4.85 dB</w:t>
            </w:r>
          </w:p>
        </w:tc>
        <w:tc>
          <w:tcPr>
            <w:tcW w:w="1800"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0.65 dB</w:t>
            </w:r>
          </w:p>
        </w:tc>
      </w:tr>
    </w:tbl>
    <w:p>
      <w:pPr>
        <w:jc w:val="center"/>
      </w:pPr>
    </w:p>
    <w:p>
      <w:pPr>
        <w:jc w:val="center"/>
        <w:rPr>
          <w:rFonts w:hint="eastAsia" w:eastAsia="宋体"/>
          <w:lang w:val="en-US" w:eastAsia="zh-CN"/>
        </w:rPr>
      </w:pPr>
      <w:r>
        <w:rPr>
          <w:rFonts w:hint="eastAsia" w:eastAsia="宋体"/>
          <w:lang w:val="en-US" w:eastAsia="zh-CN"/>
        </w:rPr>
        <w:t xml:space="preserve">Table 3. </w:t>
      </w:r>
      <w:r>
        <w:rPr>
          <w:rFonts w:hint="eastAsia"/>
          <w:lang w:val="en-US" w:eastAsia="zh-CN"/>
        </w:rPr>
        <w:t xml:space="preserve">The results for </w:t>
      </w:r>
      <w:r>
        <w:rPr>
          <w:rFonts w:hint="eastAsia" w:eastAsia="宋体"/>
          <w:lang w:val="en-US" w:eastAsia="zh-CN"/>
        </w:rPr>
        <w:t>TBsize 208 bits</w:t>
      </w:r>
    </w:p>
    <w:tbl>
      <w:tblPr>
        <w:tblStyle w:val="50"/>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100"/>
        <w:gridCol w:w="1270"/>
        <w:gridCol w:w="1373"/>
        <w:gridCol w:w="1150"/>
        <w:gridCol w:w="1292"/>
        <w:gridCol w:w="1465"/>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1255" w:type="dxa"/>
            <w:vMerge w:val="restart"/>
            <w:vAlign w:val="center"/>
          </w:tcPr>
          <w:p>
            <w:pPr>
              <w:spacing w:before="120" w:line="280" w:lineRule="atLeast"/>
              <w:jc w:val="center"/>
              <w:rPr>
                <w:vertAlign w:val="baseline"/>
              </w:rPr>
            </w:pPr>
          </w:p>
        </w:tc>
        <w:tc>
          <w:tcPr>
            <w:tcW w:w="3743" w:type="dxa"/>
            <w:gridSpan w:val="3"/>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Option1</w:t>
            </w:r>
          </w:p>
        </w:tc>
        <w:tc>
          <w:tcPr>
            <w:tcW w:w="3907" w:type="dxa"/>
            <w:gridSpan w:val="3"/>
            <w:vAlign w:val="center"/>
          </w:tcPr>
          <w:p>
            <w:pPr>
              <w:spacing w:before="120" w:line="280" w:lineRule="atLeast"/>
              <w:jc w:val="center"/>
              <w:rPr>
                <w:rFonts w:hint="default" w:eastAsia="宋体"/>
                <w:vertAlign w:val="baseline"/>
                <w:lang w:val="en-US" w:eastAsia="zh-CN"/>
              </w:rPr>
            </w:pPr>
            <w:r>
              <w:rPr>
                <w:rFonts w:hint="eastAsia" w:eastAsia="宋体"/>
                <w:vertAlign w:val="baseline"/>
                <w:lang w:val="en-US" w:eastAsia="zh-CN"/>
              </w:rPr>
              <w:t>Option2</w:t>
            </w:r>
          </w:p>
        </w:tc>
        <w:tc>
          <w:tcPr>
            <w:tcW w:w="1800" w:type="dxa"/>
            <w:vMerge w:val="restart"/>
            <w:vAlign w:val="center"/>
          </w:tcPr>
          <w:p>
            <w:pPr>
              <w:spacing w:before="120" w:line="280" w:lineRule="atLeast"/>
              <w:jc w:val="center"/>
              <w:rPr>
                <w:rFonts w:hint="eastAsia"/>
                <w:vertAlign w:val="baseline"/>
                <w:lang w:val="en-US" w:eastAsia="zh-CN"/>
              </w:rPr>
            </w:pPr>
            <w:r>
              <w:rPr>
                <w:rFonts w:hint="eastAsia"/>
                <w:vertAlign w:val="baseline"/>
                <w:lang w:val="en-US" w:eastAsia="zh-CN"/>
              </w:rPr>
              <w:t xml:space="preserve">Link budget </w:t>
            </w:r>
          </w:p>
          <w:p>
            <w:pPr>
              <w:spacing w:before="120" w:line="280" w:lineRule="atLeast"/>
              <w:jc w:val="center"/>
              <w:rPr>
                <w:rFonts w:hint="default" w:eastAsia="宋体"/>
                <w:vertAlign w:val="baseline"/>
                <w:lang w:val="en-US" w:eastAsia="zh-CN"/>
              </w:rPr>
            </w:pPr>
            <w:r>
              <w:rPr>
                <w:rFonts w:hint="eastAsia"/>
                <w:vertAlign w:val="baseline"/>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1255" w:type="dxa"/>
            <w:vMerge w:val="continue"/>
            <w:vAlign w:val="center"/>
          </w:tcPr>
          <w:p>
            <w:pPr>
              <w:spacing w:before="120" w:line="280" w:lineRule="atLeast"/>
              <w:jc w:val="center"/>
            </w:pPr>
          </w:p>
        </w:tc>
        <w:tc>
          <w:tcPr>
            <w:tcW w:w="1100" w:type="dxa"/>
            <w:vAlign w:val="center"/>
          </w:tcPr>
          <w:p>
            <w:pPr>
              <w:spacing w:before="120" w:line="280" w:lineRule="atLeast"/>
              <w:jc w:val="center"/>
            </w:pPr>
            <w:r>
              <w:rPr>
                <w:rFonts w:hint="eastAsia"/>
                <w:vertAlign w:val="baseline"/>
                <w:lang w:val="en-US" w:eastAsia="zh-CN"/>
              </w:rPr>
              <w:t>(#of RBs, MCS)</w:t>
            </w:r>
          </w:p>
        </w:tc>
        <w:tc>
          <w:tcPr>
            <w:tcW w:w="1270"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Requi</w:t>
            </w:r>
            <w:r>
              <w:rPr>
                <w:rFonts w:hint="eastAsia"/>
                <w:vertAlign w:val="baseline"/>
                <w:lang w:val="en-US" w:eastAsia="zh-CN"/>
              </w:rPr>
              <w:t>red</w:t>
            </w:r>
            <w:r>
              <w:rPr>
                <w:rFonts w:hint="eastAsia" w:eastAsia="宋体"/>
                <w:vertAlign w:val="baseline"/>
                <w:lang w:val="en-US" w:eastAsia="zh-CN"/>
              </w:rPr>
              <w:t xml:space="preserve"> SNR</w:t>
            </w:r>
          </w:p>
        </w:tc>
        <w:tc>
          <w:tcPr>
            <w:tcW w:w="1373" w:type="dxa"/>
            <w:vAlign w:val="center"/>
          </w:tcPr>
          <w:p>
            <w:pPr>
              <w:spacing w:before="120" w:line="280" w:lineRule="atLeast"/>
              <w:jc w:val="center"/>
              <w:rPr>
                <w:rFonts w:hint="default" w:eastAsia="宋体"/>
                <w:vertAlign w:val="baseline"/>
                <w:lang w:val="en-US" w:eastAsia="zh-CN"/>
              </w:rPr>
            </w:pPr>
            <w:r>
              <w:rPr>
                <w:rFonts w:hint="eastAsia"/>
                <w:b w:val="0"/>
                <w:bCs/>
                <w:color w:val="000000"/>
                <w:sz w:val="20"/>
                <w:szCs w:val="20"/>
                <w:lang w:val="en-US" w:eastAsia="zh-CN"/>
              </w:rPr>
              <w:t xml:space="preserve">Power normalization to 1 PRB </w:t>
            </w:r>
          </w:p>
        </w:tc>
        <w:tc>
          <w:tcPr>
            <w:tcW w:w="1150"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(#of RBs, MCS)</w:t>
            </w:r>
          </w:p>
        </w:tc>
        <w:tc>
          <w:tcPr>
            <w:tcW w:w="1292" w:type="dxa"/>
            <w:vAlign w:val="center"/>
          </w:tcPr>
          <w:p>
            <w:pPr>
              <w:spacing w:before="120" w:line="280" w:lineRule="atLeast"/>
              <w:jc w:val="center"/>
              <w:rPr>
                <w:rFonts w:hint="eastAsia" w:eastAsia="宋体"/>
                <w:vertAlign w:val="baseline"/>
                <w:lang w:val="en-US" w:eastAsia="zh-CN"/>
              </w:rPr>
            </w:pPr>
            <w:r>
              <w:rPr>
                <w:rFonts w:hint="eastAsia" w:eastAsia="宋体"/>
                <w:vertAlign w:val="baseline"/>
                <w:lang w:val="en-US" w:eastAsia="zh-CN"/>
              </w:rPr>
              <w:t>Requi</w:t>
            </w:r>
            <w:r>
              <w:rPr>
                <w:rFonts w:hint="eastAsia"/>
                <w:vertAlign w:val="baseline"/>
                <w:lang w:val="en-US" w:eastAsia="zh-CN"/>
              </w:rPr>
              <w:t>red</w:t>
            </w:r>
            <w:r>
              <w:rPr>
                <w:rFonts w:hint="eastAsia" w:eastAsia="宋体"/>
                <w:vertAlign w:val="baseline"/>
                <w:lang w:val="en-US" w:eastAsia="zh-CN"/>
              </w:rPr>
              <w:t xml:space="preserve"> SNR</w:t>
            </w:r>
          </w:p>
        </w:tc>
        <w:tc>
          <w:tcPr>
            <w:tcW w:w="1465" w:type="dxa"/>
            <w:vAlign w:val="center"/>
          </w:tcPr>
          <w:p>
            <w:pPr>
              <w:spacing w:before="120" w:line="280" w:lineRule="atLeast"/>
              <w:jc w:val="center"/>
              <w:rPr>
                <w:rFonts w:hint="eastAsia" w:eastAsia="宋体"/>
                <w:vertAlign w:val="baseline"/>
                <w:lang w:val="en-US" w:eastAsia="zh-CN"/>
              </w:rPr>
            </w:pPr>
            <w:r>
              <w:rPr>
                <w:rFonts w:hint="eastAsia"/>
                <w:b w:val="0"/>
                <w:bCs/>
                <w:color w:val="000000"/>
                <w:sz w:val="20"/>
                <w:szCs w:val="20"/>
                <w:lang w:val="en-US" w:eastAsia="zh-CN"/>
              </w:rPr>
              <w:t>Power normalization to 1 PRB</w:t>
            </w:r>
          </w:p>
        </w:tc>
        <w:tc>
          <w:tcPr>
            <w:tcW w:w="1800" w:type="dxa"/>
            <w:vMerge w:val="continue"/>
            <w:vAlign w:val="center"/>
          </w:tcPr>
          <w:p>
            <w:pPr>
              <w:spacing w:before="120" w:line="280" w:lineRule="atLeast"/>
              <w:jc w:val="center"/>
              <w:rPr>
                <w:rFonts w:hint="eastAsia" w:eastAsia="宋体"/>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1255"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 xml:space="preserve">Rma, </w:t>
            </w:r>
            <w:r>
              <w:rPr>
                <w:rFonts w:hint="eastAsia" w:eastAsia="宋体"/>
                <w:vertAlign w:val="baseline"/>
                <w:lang w:val="en-US" w:eastAsia="zh-CN"/>
              </w:rPr>
              <w:t>L=14</w:t>
            </w:r>
          </w:p>
        </w:tc>
        <w:tc>
          <w:tcPr>
            <w:tcW w:w="1100" w:type="dxa"/>
            <w:vAlign w:val="center"/>
          </w:tcPr>
          <w:p>
            <w:pPr>
              <w:spacing w:before="120" w:line="280" w:lineRule="atLeast"/>
              <w:jc w:val="center"/>
              <w:rPr>
                <w:rFonts w:hint="eastAsia"/>
                <w:vertAlign w:val="baseline"/>
                <w:lang w:val="en-US" w:eastAsia="zh-CN"/>
              </w:rPr>
            </w:pPr>
            <w:r>
              <w:rPr>
                <w:rFonts w:hint="eastAsia"/>
                <w:vertAlign w:val="baseline"/>
                <w:lang w:val="en-US" w:eastAsia="zh-CN"/>
              </w:rPr>
              <w:t>(2 RBs, MCS#6)</w:t>
            </w:r>
          </w:p>
        </w:tc>
        <w:tc>
          <w:tcPr>
            <w:tcW w:w="1270" w:type="dxa"/>
            <w:vAlign w:val="center"/>
          </w:tcPr>
          <w:p>
            <w:pPr>
              <w:spacing w:before="120" w:line="280" w:lineRule="atLeast"/>
              <w:jc w:val="center"/>
              <w:rPr>
                <w:rFonts w:hint="default" w:eastAsia="宋体"/>
                <w:vertAlign w:val="baseline"/>
                <w:lang w:val="en-US" w:eastAsia="zh-CN"/>
              </w:rPr>
            </w:pPr>
            <w:r>
              <w:rPr>
                <w:rFonts w:hint="eastAsia" w:eastAsia="宋体"/>
                <w:lang w:val="en-US" w:eastAsia="zh-CN"/>
              </w:rPr>
              <w:t>-6.</w:t>
            </w:r>
            <w:r>
              <w:rPr>
                <w:rFonts w:hint="eastAsia"/>
                <w:lang w:val="en-US" w:eastAsia="zh-CN"/>
              </w:rPr>
              <w:t>92</w:t>
            </w:r>
            <w:r>
              <w:rPr>
                <w:rFonts w:hint="eastAsia" w:eastAsia="宋体"/>
                <w:lang w:val="en-US" w:eastAsia="zh-CN"/>
              </w:rPr>
              <w:t xml:space="preserve"> dB</w:t>
            </w:r>
          </w:p>
        </w:tc>
        <w:tc>
          <w:tcPr>
            <w:tcW w:w="1373" w:type="dxa"/>
            <w:vAlign w:val="center"/>
          </w:tcPr>
          <w:p>
            <w:pPr>
              <w:spacing w:before="120" w:line="280" w:lineRule="atLeast"/>
              <w:jc w:val="center"/>
              <w:rPr>
                <w:rFonts w:hint="eastAsia" w:eastAsia="宋体"/>
                <w:vertAlign w:val="baseline"/>
                <w:lang w:val="en-US" w:eastAsia="zh-CN"/>
              </w:rPr>
            </w:pPr>
            <w:r>
              <w:rPr>
                <w:rFonts w:hint="eastAsia" w:eastAsia="宋体"/>
                <w:lang w:val="en-US" w:eastAsia="zh-CN"/>
              </w:rPr>
              <w:t>-3.</w:t>
            </w:r>
            <w:r>
              <w:rPr>
                <w:rFonts w:hint="eastAsia"/>
                <w:lang w:val="en-US" w:eastAsia="zh-CN"/>
              </w:rPr>
              <w:t>91</w:t>
            </w:r>
            <w:r>
              <w:rPr>
                <w:rFonts w:hint="eastAsia" w:eastAsia="宋体"/>
                <w:lang w:val="en-US" w:eastAsia="zh-CN"/>
              </w:rPr>
              <w:t xml:space="preserve"> dB</w:t>
            </w:r>
          </w:p>
        </w:tc>
        <w:tc>
          <w:tcPr>
            <w:tcW w:w="1150"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(5 RBs, MCS#1)</w:t>
            </w:r>
          </w:p>
        </w:tc>
        <w:tc>
          <w:tcPr>
            <w:tcW w:w="1292" w:type="dxa"/>
            <w:vAlign w:val="center"/>
          </w:tcPr>
          <w:p>
            <w:pPr>
              <w:spacing w:before="120" w:line="280" w:lineRule="atLeast"/>
              <w:jc w:val="center"/>
              <w:rPr>
                <w:rFonts w:hint="default" w:eastAsia="宋体"/>
                <w:vertAlign w:val="baseline"/>
                <w:lang w:val="en-US" w:eastAsia="zh-CN"/>
              </w:rPr>
            </w:pPr>
            <w:r>
              <w:rPr>
                <w:rFonts w:hint="eastAsia" w:eastAsia="宋体"/>
                <w:lang w:val="en-US" w:eastAsia="zh-CN"/>
              </w:rPr>
              <w:t>-10.</w:t>
            </w:r>
            <w:r>
              <w:rPr>
                <w:rFonts w:hint="eastAsia"/>
                <w:lang w:val="en-US" w:eastAsia="zh-CN"/>
              </w:rPr>
              <w:t>73</w:t>
            </w:r>
            <w:r>
              <w:rPr>
                <w:rFonts w:hint="eastAsia" w:eastAsia="宋体"/>
                <w:lang w:val="en-US" w:eastAsia="zh-CN"/>
              </w:rPr>
              <w:t xml:space="preserve"> dB</w:t>
            </w:r>
          </w:p>
        </w:tc>
        <w:tc>
          <w:tcPr>
            <w:tcW w:w="1465" w:type="dxa"/>
            <w:vAlign w:val="center"/>
          </w:tcPr>
          <w:p>
            <w:pPr>
              <w:spacing w:before="120" w:line="280" w:lineRule="atLeast"/>
              <w:jc w:val="center"/>
              <w:rPr>
                <w:rFonts w:hint="eastAsia" w:eastAsia="宋体"/>
                <w:vertAlign w:val="baseline"/>
                <w:lang w:val="en-US" w:eastAsia="zh-CN"/>
              </w:rPr>
            </w:pPr>
            <w:r>
              <w:rPr>
                <w:rFonts w:hint="eastAsia" w:eastAsia="宋体"/>
                <w:lang w:val="en-US" w:eastAsia="zh-CN"/>
              </w:rPr>
              <w:t>-3.</w:t>
            </w:r>
            <w:r>
              <w:rPr>
                <w:rFonts w:hint="eastAsia"/>
                <w:lang w:val="en-US" w:eastAsia="zh-CN"/>
              </w:rPr>
              <w:t>7</w:t>
            </w:r>
            <w:r>
              <w:rPr>
                <w:rFonts w:hint="eastAsia" w:eastAsia="宋体"/>
                <w:lang w:val="en-US" w:eastAsia="zh-CN"/>
              </w:rPr>
              <w:t>4 dB</w:t>
            </w:r>
          </w:p>
        </w:tc>
        <w:tc>
          <w:tcPr>
            <w:tcW w:w="1800" w:type="dxa"/>
            <w:vAlign w:val="center"/>
          </w:tcPr>
          <w:p>
            <w:pPr>
              <w:spacing w:before="120" w:line="280" w:lineRule="atLeast"/>
              <w:jc w:val="center"/>
              <w:rPr>
                <w:rFonts w:hint="default" w:eastAsia="宋体"/>
                <w:vertAlign w:val="baseline"/>
                <w:lang w:val="en-US" w:eastAsia="zh-CN"/>
              </w:rPr>
            </w:pPr>
            <w:r>
              <w:rPr>
                <w:rFonts w:hint="eastAsia" w:eastAsia="宋体"/>
                <w:lang w:val="en-US" w:eastAsia="zh-CN"/>
              </w:rPr>
              <w:t>0.</w:t>
            </w:r>
            <w:r>
              <w:rPr>
                <w:rFonts w:hint="eastAsia"/>
                <w:lang w:val="en-US" w:eastAsia="zh-CN"/>
              </w:rPr>
              <w:t>17</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5" w:type="dxa"/>
            <w:vAlign w:val="center"/>
          </w:tcPr>
          <w:p>
            <w:pPr>
              <w:spacing w:before="120" w:line="280" w:lineRule="atLeast"/>
              <w:jc w:val="center"/>
              <w:rPr>
                <w:rFonts w:hint="default" w:eastAsia="宋体"/>
                <w:vertAlign w:val="baseline"/>
                <w:lang w:val="en-US" w:eastAsia="zh-CN"/>
              </w:rPr>
            </w:pPr>
            <w:r>
              <w:rPr>
                <w:rFonts w:hint="eastAsia"/>
                <w:vertAlign w:val="baseline"/>
                <w:lang w:val="en-US" w:eastAsia="zh-CN"/>
              </w:rPr>
              <w:t xml:space="preserve">Rma, </w:t>
            </w:r>
            <w:r>
              <w:rPr>
                <w:rFonts w:hint="eastAsia" w:eastAsia="宋体"/>
                <w:vertAlign w:val="baseline"/>
                <w:lang w:val="en-US" w:eastAsia="zh-CN"/>
              </w:rPr>
              <w:t>L=12</w:t>
            </w:r>
          </w:p>
        </w:tc>
        <w:tc>
          <w:tcPr>
            <w:tcW w:w="1100" w:type="dxa"/>
            <w:vAlign w:val="center"/>
          </w:tcPr>
          <w:p>
            <w:pPr>
              <w:spacing w:before="120" w:line="280" w:lineRule="atLeast"/>
              <w:jc w:val="center"/>
              <w:rPr>
                <w:rFonts w:hint="eastAsia"/>
                <w:vertAlign w:val="baseline"/>
                <w:lang w:val="en-US" w:eastAsia="zh-CN"/>
              </w:rPr>
            </w:pPr>
            <w:r>
              <w:rPr>
                <w:rFonts w:hint="eastAsia"/>
                <w:vertAlign w:val="baseline"/>
                <w:lang w:val="en-US" w:eastAsia="zh-CN"/>
              </w:rPr>
              <w:t>(2 RBs, MCS#7)</w:t>
            </w:r>
          </w:p>
        </w:tc>
        <w:tc>
          <w:tcPr>
            <w:tcW w:w="1270" w:type="dxa"/>
            <w:vAlign w:val="center"/>
          </w:tcPr>
          <w:p>
            <w:pPr>
              <w:spacing w:before="120" w:line="280" w:lineRule="atLeast"/>
              <w:jc w:val="center"/>
              <w:rPr>
                <w:rFonts w:hint="default" w:eastAsia="宋体"/>
                <w:vertAlign w:val="baseline"/>
                <w:lang w:val="en-US" w:eastAsia="zh-CN"/>
              </w:rPr>
            </w:pPr>
            <w:r>
              <w:rPr>
                <w:rFonts w:hint="eastAsia" w:eastAsia="宋体"/>
                <w:lang w:val="en-US" w:eastAsia="zh-CN"/>
              </w:rPr>
              <w:t>-6.</w:t>
            </w:r>
            <w:r>
              <w:rPr>
                <w:rFonts w:hint="eastAsia"/>
                <w:lang w:val="en-US" w:eastAsia="zh-CN"/>
              </w:rPr>
              <w:t>1</w:t>
            </w:r>
            <w:r>
              <w:rPr>
                <w:rFonts w:hint="eastAsia" w:eastAsia="宋体"/>
                <w:lang w:val="en-US" w:eastAsia="zh-CN"/>
              </w:rPr>
              <w:t>9 dB</w:t>
            </w:r>
          </w:p>
        </w:tc>
        <w:tc>
          <w:tcPr>
            <w:tcW w:w="1373" w:type="dxa"/>
            <w:vAlign w:val="center"/>
          </w:tcPr>
          <w:p>
            <w:pPr>
              <w:spacing w:before="120" w:line="280" w:lineRule="atLeast"/>
              <w:jc w:val="center"/>
              <w:rPr>
                <w:rFonts w:hint="default" w:eastAsia="宋体"/>
                <w:vertAlign w:val="baseline"/>
                <w:lang w:val="en-US" w:eastAsia="zh-CN"/>
              </w:rPr>
            </w:pPr>
            <w:r>
              <w:rPr>
                <w:rFonts w:hint="eastAsia" w:eastAsia="宋体"/>
                <w:lang w:val="en-US" w:eastAsia="zh-CN"/>
              </w:rPr>
              <w:t>-3.</w:t>
            </w:r>
            <w:r>
              <w:rPr>
                <w:rFonts w:hint="eastAsia"/>
                <w:lang w:val="en-US" w:eastAsia="zh-CN"/>
              </w:rPr>
              <w:t>1</w:t>
            </w:r>
            <w:r>
              <w:rPr>
                <w:rFonts w:hint="eastAsia" w:eastAsia="宋体"/>
                <w:lang w:val="en-US" w:eastAsia="zh-CN"/>
              </w:rPr>
              <w:t>8 dB</w:t>
            </w:r>
          </w:p>
        </w:tc>
        <w:tc>
          <w:tcPr>
            <w:tcW w:w="1150"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(7 RBs, MCS#1)</w:t>
            </w:r>
          </w:p>
        </w:tc>
        <w:tc>
          <w:tcPr>
            <w:tcW w:w="1292" w:type="dxa"/>
            <w:vAlign w:val="center"/>
          </w:tcPr>
          <w:p>
            <w:pPr>
              <w:spacing w:before="120" w:line="280" w:lineRule="atLeast"/>
              <w:jc w:val="center"/>
              <w:rPr>
                <w:rFonts w:hint="default" w:eastAsia="宋体"/>
                <w:vertAlign w:val="baseline"/>
                <w:lang w:val="en-US" w:eastAsia="zh-CN"/>
              </w:rPr>
            </w:pPr>
            <w:r>
              <w:rPr>
                <w:rFonts w:hint="eastAsia" w:eastAsia="宋体"/>
                <w:lang w:val="en-US" w:eastAsia="zh-CN"/>
              </w:rPr>
              <w:t>-1</w:t>
            </w:r>
            <w:r>
              <w:rPr>
                <w:rFonts w:hint="eastAsia"/>
                <w:lang w:val="en-US" w:eastAsia="zh-CN"/>
              </w:rPr>
              <w:t>1.36</w:t>
            </w:r>
            <w:r>
              <w:rPr>
                <w:rFonts w:hint="eastAsia" w:eastAsia="宋体"/>
                <w:lang w:val="en-US" w:eastAsia="zh-CN"/>
              </w:rPr>
              <w:t xml:space="preserve"> dB</w:t>
            </w:r>
          </w:p>
        </w:tc>
        <w:tc>
          <w:tcPr>
            <w:tcW w:w="1465" w:type="dxa"/>
            <w:vAlign w:val="center"/>
          </w:tcPr>
          <w:p>
            <w:pPr>
              <w:spacing w:before="120" w:line="280" w:lineRule="atLeast"/>
              <w:jc w:val="center"/>
              <w:rPr>
                <w:rFonts w:hint="default" w:eastAsia="宋体"/>
                <w:vertAlign w:val="baseline"/>
                <w:lang w:val="en-US" w:eastAsia="zh-CN"/>
              </w:rPr>
            </w:pPr>
            <w:r>
              <w:rPr>
                <w:rFonts w:hint="eastAsia" w:eastAsia="宋体"/>
                <w:lang w:val="en-US" w:eastAsia="zh-CN"/>
              </w:rPr>
              <w:t>-2.</w:t>
            </w:r>
            <w:r>
              <w:rPr>
                <w:rFonts w:hint="eastAsia"/>
                <w:lang w:val="en-US" w:eastAsia="zh-CN"/>
              </w:rPr>
              <w:t>9</w:t>
            </w:r>
            <w:r>
              <w:rPr>
                <w:rFonts w:hint="eastAsia" w:eastAsia="宋体"/>
                <w:lang w:val="en-US" w:eastAsia="zh-CN"/>
              </w:rPr>
              <w:t xml:space="preserve"> dB</w:t>
            </w:r>
          </w:p>
        </w:tc>
        <w:tc>
          <w:tcPr>
            <w:tcW w:w="1800" w:type="dxa"/>
            <w:vAlign w:val="center"/>
          </w:tcPr>
          <w:p>
            <w:pPr>
              <w:spacing w:before="120" w:line="280" w:lineRule="atLeast"/>
              <w:jc w:val="center"/>
              <w:rPr>
                <w:rFonts w:hint="default" w:eastAsia="宋体"/>
                <w:vertAlign w:val="baseline"/>
                <w:lang w:val="en-US" w:eastAsia="zh-CN"/>
              </w:rPr>
            </w:pPr>
            <w:r>
              <w:rPr>
                <w:rFonts w:hint="eastAsia" w:eastAsia="宋体"/>
                <w:lang w:val="en-US" w:eastAsia="zh-CN"/>
              </w:rPr>
              <w:t>0.</w:t>
            </w:r>
            <w:r>
              <w:rPr>
                <w:rFonts w:hint="eastAsia"/>
                <w:lang w:val="en-US" w:eastAsia="zh-CN"/>
              </w:rPr>
              <w:t>28</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5"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 xml:space="preserve">Uma, </w:t>
            </w:r>
            <w:r>
              <w:rPr>
                <w:rFonts w:hint="eastAsia" w:eastAsia="宋体"/>
                <w:vertAlign w:val="baseline"/>
                <w:lang w:val="en-US" w:eastAsia="zh-CN"/>
              </w:rPr>
              <w:t>L=14</w:t>
            </w:r>
          </w:p>
        </w:tc>
        <w:tc>
          <w:tcPr>
            <w:tcW w:w="1100"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(2 RBs, MCS#6)</w:t>
            </w:r>
          </w:p>
        </w:tc>
        <w:tc>
          <w:tcPr>
            <w:tcW w:w="1270" w:type="dxa"/>
            <w:vAlign w:val="center"/>
          </w:tcPr>
          <w:p>
            <w:pPr>
              <w:spacing w:before="120" w:line="280" w:lineRule="atLeast"/>
              <w:jc w:val="center"/>
              <w:rPr>
                <w:rFonts w:hint="default" w:eastAsia="宋体"/>
                <w:vertAlign w:val="baseline"/>
                <w:lang w:val="en-US" w:eastAsia="zh-CN"/>
              </w:rPr>
            </w:pPr>
            <w:r>
              <w:rPr>
                <w:rFonts w:hint="eastAsia"/>
                <w:lang w:val="en-US" w:eastAsia="zh-CN"/>
              </w:rPr>
              <w:t>-7.53 dB</w:t>
            </w:r>
          </w:p>
        </w:tc>
        <w:tc>
          <w:tcPr>
            <w:tcW w:w="1373" w:type="dxa"/>
            <w:vAlign w:val="center"/>
          </w:tcPr>
          <w:p>
            <w:pPr>
              <w:spacing w:before="120" w:line="280" w:lineRule="atLeast"/>
              <w:jc w:val="center"/>
              <w:rPr>
                <w:rFonts w:hint="default" w:eastAsia="宋体"/>
                <w:vertAlign w:val="baseline"/>
                <w:lang w:val="en-US" w:eastAsia="zh-CN"/>
              </w:rPr>
            </w:pPr>
            <w:r>
              <w:rPr>
                <w:rFonts w:hint="eastAsia"/>
                <w:lang w:val="en-US" w:eastAsia="zh-CN"/>
              </w:rPr>
              <w:t>-4.52 dB</w:t>
            </w:r>
          </w:p>
        </w:tc>
        <w:tc>
          <w:tcPr>
            <w:tcW w:w="1150"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(5 RBs, MCS#1)</w:t>
            </w:r>
          </w:p>
        </w:tc>
        <w:tc>
          <w:tcPr>
            <w:tcW w:w="1292" w:type="dxa"/>
            <w:vAlign w:val="center"/>
          </w:tcPr>
          <w:p>
            <w:pPr>
              <w:spacing w:before="120" w:line="280" w:lineRule="atLeast"/>
              <w:jc w:val="center"/>
              <w:rPr>
                <w:rFonts w:hint="default" w:eastAsia="宋体"/>
                <w:vertAlign w:val="baseline"/>
                <w:lang w:val="en-US" w:eastAsia="zh-CN"/>
              </w:rPr>
            </w:pPr>
            <w:r>
              <w:rPr>
                <w:rFonts w:hint="eastAsia"/>
                <w:lang w:val="en-US" w:eastAsia="zh-CN"/>
              </w:rPr>
              <w:t>-11.27 dB</w:t>
            </w:r>
          </w:p>
        </w:tc>
        <w:tc>
          <w:tcPr>
            <w:tcW w:w="1465" w:type="dxa"/>
            <w:vAlign w:val="center"/>
          </w:tcPr>
          <w:p>
            <w:pPr>
              <w:spacing w:before="120" w:line="280" w:lineRule="atLeast"/>
              <w:jc w:val="center"/>
              <w:rPr>
                <w:rFonts w:hint="default" w:eastAsia="宋体"/>
                <w:vertAlign w:val="baseline"/>
                <w:lang w:val="en-US" w:eastAsia="zh-CN"/>
              </w:rPr>
            </w:pPr>
            <w:r>
              <w:rPr>
                <w:rFonts w:hint="eastAsia"/>
                <w:lang w:val="en-US" w:eastAsia="zh-CN"/>
              </w:rPr>
              <w:t>-4.28 dB</w:t>
            </w:r>
          </w:p>
        </w:tc>
        <w:tc>
          <w:tcPr>
            <w:tcW w:w="1800" w:type="dxa"/>
            <w:vAlign w:val="center"/>
          </w:tcPr>
          <w:p>
            <w:pPr>
              <w:spacing w:before="120" w:line="280" w:lineRule="atLeast"/>
              <w:jc w:val="center"/>
              <w:rPr>
                <w:rFonts w:hint="default" w:eastAsia="宋体"/>
                <w:vertAlign w:val="baseline"/>
                <w:lang w:val="en-US" w:eastAsia="zh-CN"/>
              </w:rPr>
            </w:pPr>
            <w:r>
              <w:rPr>
                <w:rFonts w:hint="eastAsia"/>
                <w:lang w:val="en-US" w:eastAsia="zh-CN"/>
              </w:rPr>
              <w:t>0.24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55" w:type="dxa"/>
            <w:vAlign w:val="center"/>
          </w:tcPr>
          <w:p>
            <w:pPr>
              <w:spacing w:before="120" w:line="280" w:lineRule="atLeast"/>
              <w:jc w:val="center"/>
              <w:rPr>
                <w:rFonts w:hint="eastAsia" w:eastAsia="宋体"/>
                <w:vertAlign w:val="baseline"/>
                <w:lang w:val="en-US" w:eastAsia="zh-CN"/>
              </w:rPr>
            </w:pPr>
            <w:r>
              <w:rPr>
                <w:rFonts w:hint="eastAsia"/>
                <w:vertAlign w:val="baseline"/>
                <w:lang w:val="en-US" w:eastAsia="zh-CN"/>
              </w:rPr>
              <w:t xml:space="preserve">Uma, </w:t>
            </w:r>
            <w:r>
              <w:rPr>
                <w:rFonts w:hint="eastAsia" w:eastAsia="宋体"/>
                <w:vertAlign w:val="baseline"/>
                <w:lang w:val="en-US" w:eastAsia="zh-CN"/>
              </w:rPr>
              <w:t>L=12</w:t>
            </w:r>
          </w:p>
        </w:tc>
        <w:tc>
          <w:tcPr>
            <w:tcW w:w="1100"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(2 RBs, MCS#7)</w:t>
            </w:r>
          </w:p>
        </w:tc>
        <w:tc>
          <w:tcPr>
            <w:tcW w:w="1270" w:type="dxa"/>
            <w:vAlign w:val="center"/>
          </w:tcPr>
          <w:p>
            <w:pPr>
              <w:spacing w:before="120" w:line="280" w:lineRule="atLeast"/>
              <w:jc w:val="center"/>
              <w:rPr>
                <w:rFonts w:hint="default" w:eastAsia="宋体"/>
                <w:vertAlign w:val="baseline"/>
                <w:lang w:val="en-US" w:eastAsia="zh-CN"/>
              </w:rPr>
            </w:pPr>
            <w:r>
              <w:rPr>
                <w:rFonts w:hint="eastAsia"/>
                <w:lang w:val="en-US" w:eastAsia="zh-CN"/>
              </w:rPr>
              <w:t>-6.82 dB</w:t>
            </w:r>
          </w:p>
        </w:tc>
        <w:tc>
          <w:tcPr>
            <w:tcW w:w="1373" w:type="dxa"/>
            <w:vAlign w:val="center"/>
          </w:tcPr>
          <w:p>
            <w:pPr>
              <w:spacing w:before="120" w:line="280" w:lineRule="atLeast"/>
              <w:jc w:val="center"/>
              <w:rPr>
                <w:rFonts w:hint="default" w:eastAsia="宋体"/>
                <w:vertAlign w:val="baseline"/>
                <w:lang w:val="en-US" w:eastAsia="zh-CN"/>
              </w:rPr>
            </w:pPr>
            <w:r>
              <w:rPr>
                <w:rFonts w:hint="eastAsia"/>
                <w:lang w:val="en-US" w:eastAsia="zh-CN"/>
              </w:rPr>
              <w:t>-3.81 dB</w:t>
            </w:r>
          </w:p>
        </w:tc>
        <w:tc>
          <w:tcPr>
            <w:tcW w:w="1150" w:type="dxa"/>
            <w:vAlign w:val="center"/>
          </w:tcPr>
          <w:p>
            <w:pPr>
              <w:spacing w:before="120" w:line="280" w:lineRule="atLeast"/>
              <w:jc w:val="center"/>
              <w:rPr>
                <w:rFonts w:hint="eastAsia" w:ascii="Times New Roman" w:hAnsi="Times New Roman" w:eastAsia="宋体" w:cs="Times New Roman"/>
                <w:vertAlign w:val="baseline"/>
                <w:lang w:val="en-US" w:eastAsia="zh-CN" w:bidi="ar-SA"/>
              </w:rPr>
            </w:pPr>
            <w:r>
              <w:rPr>
                <w:rFonts w:hint="eastAsia"/>
                <w:vertAlign w:val="baseline"/>
                <w:lang w:val="en-US" w:eastAsia="zh-CN"/>
              </w:rPr>
              <w:t>(7 RBs, MCS#1)</w:t>
            </w:r>
          </w:p>
        </w:tc>
        <w:tc>
          <w:tcPr>
            <w:tcW w:w="1292" w:type="dxa"/>
            <w:vAlign w:val="center"/>
          </w:tcPr>
          <w:p>
            <w:pPr>
              <w:spacing w:before="120" w:line="280" w:lineRule="atLeast"/>
              <w:jc w:val="center"/>
              <w:rPr>
                <w:rFonts w:hint="default" w:eastAsia="宋体"/>
                <w:vertAlign w:val="baseline"/>
                <w:lang w:val="en-US" w:eastAsia="zh-CN"/>
              </w:rPr>
            </w:pPr>
            <w:r>
              <w:rPr>
                <w:rFonts w:hint="eastAsia"/>
                <w:lang w:val="en-US" w:eastAsia="zh-CN"/>
              </w:rPr>
              <w:t>-12.11 dB</w:t>
            </w:r>
          </w:p>
        </w:tc>
        <w:tc>
          <w:tcPr>
            <w:tcW w:w="1465" w:type="dxa"/>
            <w:vAlign w:val="center"/>
          </w:tcPr>
          <w:p>
            <w:pPr>
              <w:spacing w:before="120" w:line="280" w:lineRule="atLeast"/>
              <w:jc w:val="center"/>
              <w:rPr>
                <w:rFonts w:hint="default" w:eastAsia="宋体"/>
                <w:vertAlign w:val="baseline"/>
                <w:lang w:val="en-US" w:eastAsia="zh-CN"/>
              </w:rPr>
            </w:pPr>
            <w:r>
              <w:rPr>
                <w:rFonts w:hint="eastAsia"/>
                <w:lang w:val="en-US" w:eastAsia="zh-CN"/>
              </w:rPr>
              <w:t>-3.65 dB</w:t>
            </w:r>
          </w:p>
        </w:tc>
        <w:tc>
          <w:tcPr>
            <w:tcW w:w="1800" w:type="dxa"/>
            <w:vAlign w:val="center"/>
          </w:tcPr>
          <w:p>
            <w:pPr>
              <w:spacing w:before="120" w:line="280" w:lineRule="atLeast"/>
              <w:jc w:val="center"/>
              <w:rPr>
                <w:rFonts w:hint="default" w:eastAsia="宋体"/>
                <w:vertAlign w:val="baseline"/>
                <w:lang w:val="en-US" w:eastAsia="zh-CN"/>
              </w:rPr>
            </w:pPr>
            <w:r>
              <w:rPr>
                <w:rFonts w:hint="eastAsia"/>
                <w:lang w:val="en-US" w:eastAsia="zh-CN"/>
              </w:rPr>
              <w:t>0.16 dB</w:t>
            </w:r>
          </w:p>
        </w:tc>
      </w:tr>
    </w:tbl>
    <w:p>
      <w:pPr>
        <w:jc w:val="center"/>
        <w:rPr>
          <w:rFonts w:hint="eastAsia" w:eastAsia="宋体"/>
          <w:lang w:val="en-US" w:eastAsia="zh-CN"/>
        </w:rPr>
      </w:pPr>
    </w:p>
    <w:p>
      <w:pPr>
        <w:bidi w:val="0"/>
        <w:rPr>
          <w:rFonts w:hint="eastAsia" w:eastAsiaTheme="minorEastAsia"/>
          <w:highlight w:val="none"/>
          <w:lang w:val="en-US" w:eastAsia="zh-CN"/>
        </w:rPr>
      </w:pPr>
      <w:r>
        <w:rPr>
          <w:rFonts w:hint="eastAsia" w:eastAsiaTheme="minorEastAsia"/>
          <w:highlight w:val="none"/>
          <w:lang w:val="en-US" w:eastAsia="zh-CN"/>
        </w:rPr>
        <w:t xml:space="preserve">In the evaluation, two options are compared, where Option 1 targets to use a minimum number of PRBs and the corresponding MCS index could be larger than 3, and Option 2 targets to use a larger number of PRBs to ensure the MCS index no larger than 3. It can be seen that both Option 1 and Option 2 can apply to Alt 1(TDRA based solution) while only Option 2 can be used for Alt 2 (MCS based solution). According to the results shown in above tables, it can be observed that Option 1 could provide better performance (0.16 ~ 0.65 dB) than Option 2 for most of cases. Therefore, Alt 1 could achieve better performance than Alt 2. </w:t>
      </w:r>
    </w:p>
    <w:p>
      <w:pPr>
        <w:bidi w:val="0"/>
        <w:rPr>
          <w:rFonts w:hint="default" w:eastAsiaTheme="minorEastAsia"/>
          <w:i/>
          <w:iCs/>
          <w:highlight w:val="none"/>
          <w:lang w:val="en-US" w:eastAsia="zh-CN"/>
        </w:rPr>
      </w:pPr>
      <w:r>
        <w:rPr>
          <w:rFonts w:hint="eastAsia" w:eastAsiaTheme="minorEastAsia"/>
          <w:b/>
          <w:bCs/>
          <w:i/>
          <w:iCs/>
          <w:highlight w:val="none"/>
          <w:lang w:val="en-US" w:eastAsia="zh-CN"/>
        </w:rPr>
        <w:t xml:space="preserve">Observation 1: </w:t>
      </w:r>
      <w:r>
        <w:rPr>
          <w:rFonts w:hint="eastAsia" w:eastAsiaTheme="minorEastAsia"/>
          <w:i/>
          <w:iCs/>
          <w:highlight w:val="none"/>
          <w:lang w:val="en-US" w:eastAsia="zh-CN"/>
        </w:rPr>
        <w:t xml:space="preserve">Alt 1(TDRA based solution) has better scheduling flexibility with either using Option 1 (a minimum number of PRBs and the corresponding MCS index could be larger than 3), or Option 2 (a larger number of PRBs to ensure the MCS index no larger than 3), while Alt 2 can only use Option 2. </w:t>
      </w:r>
    </w:p>
    <w:p>
      <w:pPr>
        <w:bidi w:val="0"/>
        <w:rPr>
          <w:rFonts w:hint="default" w:eastAsiaTheme="minorEastAsia"/>
          <w:i/>
          <w:iCs/>
          <w:highlight w:val="none"/>
          <w:lang w:val="en-US" w:eastAsia="zh-CN"/>
        </w:rPr>
      </w:pPr>
      <w:r>
        <w:rPr>
          <w:rFonts w:hint="eastAsia" w:eastAsiaTheme="minorEastAsia"/>
          <w:b/>
          <w:bCs/>
          <w:i/>
          <w:iCs/>
          <w:highlight w:val="none"/>
          <w:lang w:val="en-US" w:eastAsia="zh-CN"/>
        </w:rPr>
        <w:t>Observation 2:</w:t>
      </w:r>
      <w:r>
        <w:rPr>
          <w:rFonts w:hint="eastAsia" w:eastAsiaTheme="minorEastAsia"/>
          <w:i/>
          <w:iCs/>
          <w:highlight w:val="none"/>
          <w:lang w:val="en-US" w:eastAsia="zh-CN"/>
        </w:rPr>
        <w:t xml:space="preserve"> For Msg3 PUSCH repetition, Alt 1 (TDRA based solution) could provide better performance by enabling scheduling with Option 1 (a minimum number of PRBs and the corresponding MCS index could be larger than 3). </w:t>
      </w:r>
    </w:p>
    <w:p>
      <w:pPr>
        <w:bidi w:val="0"/>
        <w:rPr>
          <w:rFonts w:hint="default" w:eastAsiaTheme="minorEastAsia"/>
          <w:highlight w:val="none"/>
          <w:lang w:val="en-US" w:eastAsia="zh-CN"/>
        </w:rPr>
      </w:pPr>
      <w:r>
        <w:rPr>
          <w:rFonts w:hint="eastAsia" w:eastAsiaTheme="minorEastAsia"/>
          <w:highlight w:val="none"/>
          <w:lang w:val="en-US" w:eastAsia="zh-CN"/>
        </w:rPr>
        <w:t xml:space="preserve">With above analysis, we have the following proposal. </w:t>
      </w:r>
    </w:p>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val="0"/>
        <w:spacing w:before="137" w:beforeLines="50" w:afterLines="50"/>
        <w:textAlignment w:val="baseline"/>
        <w:rPr>
          <w:rFonts w:hint="default" w:ascii="Times New Roman" w:hAnsi="Times New Roman" w:cs="Times New Roman"/>
          <w:i/>
          <w:iCs/>
          <w:highlight w:val="none"/>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Alt 1( </w:t>
      </w:r>
      <w:r>
        <w:rPr>
          <w:rFonts w:hint="default" w:ascii="Times New Roman" w:hAnsi="Times New Roman" w:cs="Times New Roman"/>
          <w:i/>
          <w:iCs/>
          <w:highlight w:val="none"/>
          <w:lang w:eastAsia="zh-CN"/>
        </w:rPr>
        <w:t xml:space="preserve">TDRA </w:t>
      </w:r>
      <w:r>
        <w:rPr>
          <w:rFonts w:hint="eastAsia" w:cs="Times New Roman"/>
          <w:i/>
          <w:iCs/>
          <w:highlight w:val="none"/>
          <w:lang w:val="en-US" w:eastAsia="zh-CN"/>
        </w:rPr>
        <w:t>based solution) is adopted</w:t>
      </w:r>
      <w:r>
        <w:rPr>
          <w:rFonts w:hint="eastAsia" w:cs="Times New Roman"/>
          <w:i/>
          <w:iCs/>
          <w:highlight w:val="none"/>
          <w:shd w:val="clear" w:color="auto" w:fill="FFFFFF"/>
          <w:lang w:val="en-US" w:eastAsia="zh-CN"/>
        </w:rPr>
        <w:t xml:space="preserve"> for repetition indication of Msg3 repetition. </w:t>
      </w:r>
    </w:p>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val="0"/>
        <w:spacing w:before="137" w:beforeLines="50" w:afterLines="50"/>
        <w:textAlignment w:val="baseline"/>
        <w:rPr>
          <w:rFonts w:hint="default" w:ascii="Times New Roman" w:hAnsi="Times New Roman" w:cs="Times New Roman"/>
          <w:i/>
          <w:iCs/>
          <w:highlight w:val="none"/>
          <w:lang w:val="en-US" w:eastAsia="zh-CN"/>
        </w:rPr>
      </w:pPr>
    </w:p>
    <w:p>
      <w:pPr>
        <w:pStyle w:val="3"/>
        <w:numPr>
          <w:ilvl w:val="1"/>
          <w:numId w:val="1"/>
        </w:numPr>
        <w:bidi w:val="0"/>
        <w:ind w:left="576" w:leftChars="0" w:hanging="576" w:firstLineChars="0"/>
        <w:rPr>
          <w:rFonts w:hint="default"/>
          <w:lang w:val="en-US" w:eastAsia="zh-CN"/>
        </w:rPr>
      </w:pPr>
      <w:r>
        <w:rPr>
          <w:rFonts w:hint="eastAsia"/>
          <w:highlight w:val="none"/>
          <w:lang w:val="en-US" w:eastAsia="zh-CN"/>
        </w:rPr>
        <w:t xml:space="preserve"> On Msg3 re-transmission transmission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lang w:val="en-US" w:eastAsia="zh-CN"/>
        </w:rPr>
      </w:pPr>
      <w:r>
        <w:rPr>
          <w:rFonts w:hint="eastAsia"/>
          <w:lang w:val="en-US" w:eastAsia="zh-CN"/>
        </w:rPr>
        <w:t xml:space="preserve">Regarding </w:t>
      </w:r>
      <w:r>
        <w:rPr>
          <w:rFonts w:hint="eastAsia"/>
          <w:lang w:eastAsia="zh-CN"/>
        </w:rPr>
        <w:t>Msg3 re-transmission,</w:t>
      </w:r>
      <w:r>
        <w:rPr>
          <w:rFonts w:hint="eastAsia"/>
          <w:lang w:val="en-US" w:eastAsia="zh-CN"/>
        </w:rPr>
        <w:t xml:space="preserve"> </w:t>
      </w:r>
      <w:r>
        <w:rPr>
          <w:rFonts w:ascii="Times New Roman" w:hAnsi="Times New Roman" w:cs="Times New Roman"/>
          <w:color w:val="auto"/>
          <w:sz w:val="20"/>
          <w:szCs w:val="20"/>
        </w:rPr>
        <w:t>DCI format 0_0 with CRC scrambled by TC-RNTI</w:t>
      </w:r>
      <w:r>
        <w:rPr>
          <w:rFonts w:hint="eastAsia" w:cs="Times New Roman"/>
          <w:color w:val="auto"/>
          <w:sz w:val="20"/>
          <w:szCs w:val="20"/>
          <w:lang w:val="en-US" w:eastAsia="zh-CN"/>
        </w:rPr>
        <w:t xml:space="preserve"> </w:t>
      </w:r>
      <w:r>
        <w:rPr>
          <w:rFonts w:hint="eastAsia"/>
          <w:lang w:val="en-US" w:eastAsia="zh-CN"/>
        </w:rPr>
        <w:t>was agreed for repetition indication, with the following two options on the table.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pPr>
            <w:r>
              <w:rPr>
                <w:highlight w:val="green"/>
              </w:rPr>
              <w:t>Agreement</w:t>
            </w:r>
            <w:r>
              <w:t>: For repetition indication of Msg3 re-transmission, select one options from the following two options.</w:t>
            </w:r>
          </w:p>
          <w:p>
            <w:pPr>
              <w:numPr>
                <w:ilvl w:val="0"/>
                <w:numId w:val="10"/>
              </w:numPr>
              <w:spacing w:before="120" w:line="280" w:lineRule="atLeast"/>
            </w:pPr>
            <w:r>
              <w:t>Option 1: Use the same mechanism as supported for Msg3 initial transmission.</w:t>
            </w:r>
          </w:p>
          <w:p>
            <w:pPr>
              <w:numPr>
                <w:ilvl w:val="0"/>
                <w:numId w:val="10"/>
              </w:numPr>
              <w:spacing w:before="120" w:line="280" w:lineRule="atLeast"/>
              <w:rPr>
                <w:rFonts w:hint="default"/>
                <w:b w:val="0"/>
                <w:bCs w:val="0"/>
                <w:i w:val="0"/>
                <w:iCs w:val="0"/>
                <w:highlight w:val="none"/>
                <w:vertAlign w:val="baseline"/>
                <w:lang w:val="en-US" w:eastAsia="zh-CN"/>
              </w:rPr>
            </w:pPr>
            <w:r>
              <w:t>Option</w:t>
            </w:r>
            <w:r>
              <w:rPr>
                <w:rFonts w:hint="eastAsia"/>
                <w:lang w:val="en-US" w:eastAsia="zh-CN"/>
              </w:rPr>
              <w:t xml:space="preserve"> </w:t>
            </w:r>
            <w:r>
              <w:t>2: Use HARQ process number bit field in DCI format 0_0 with CRC scrambled by TC-RNTI. </w:t>
            </w:r>
            <w:r>
              <w:rPr>
                <w:rFonts w:hint="eastAsia"/>
              </w:rPr>
              <w:t> </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eastAsia"/>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afterLines="50"/>
        <w:textAlignment w:val="baseline"/>
        <w:rPr>
          <w:rFonts w:hint="default"/>
          <w:b w:val="0"/>
          <w:bCs w:val="0"/>
          <w:i w:val="0"/>
          <w:iCs w:val="0"/>
          <w:highlight w:val="none"/>
          <w:lang w:val="en-US" w:eastAsia="zh-CN"/>
        </w:rPr>
      </w:pPr>
      <w:r>
        <w:rPr>
          <w:rFonts w:hint="eastAsia"/>
          <w:b w:val="0"/>
          <w:bCs w:val="0"/>
          <w:i w:val="0"/>
          <w:iCs w:val="0"/>
          <w:highlight w:val="none"/>
          <w:lang w:val="en-US" w:eastAsia="zh-CN"/>
        </w:rPr>
        <w:t xml:space="preserve">In general, both options have its own technical merits. From our perspective, Option 1 with a unified solution for both initial and re-transmission is slightly preferred. </w:t>
      </w:r>
    </w:p>
    <w:p>
      <w:pPr>
        <w:numPr>
          <w:ilvl w:val="0"/>
          <w:numId w:val="0"/>
        </w:numPr>
        <w:rPr>
          <w:rFonts w:hint="eastAsia"/>
          <w:i/>
          <w:iCs/>
          <w:lang w:val="en-US" w:eastAsia="zh-CN"/>
        </w:rPr>
      </w:pPr>
      <w:r>
        <w:rPr>
          <w:rFonts w:hint="eastAsia"/>
          <w:b/>
          <w:bCs/>
          <w:i/>
          <w:iCs/>
          <w:highlight w:val="none"/>
          <w:lang w:val="en-US" w:eastAsia="zh-CN"/>
        </w:rPr>
        <w:t>Proposal 2:</w:t>
      </w:r>
      <w:r>
        <w:rPr>
          <w:rFonts w:hint="eastAsia"/>
          <w:b w:val="0"/>
          <w:bCs w:val="0"/>
          <w:i/>
          <w:iCs/>
          <w:sz w:val="20"/>
          <w:szCs w:val="20"/>
          <w:highlight w:val="none"/>
          <w:u w:val="none"/>
          <w:lang w:val="en-US" w:eastAsia="zh-CN"/>
        </w:rPr>
        <w:t xml:space="preserve"> </w:t>
      </w:r>
      <w:r>
        <w:rPr>
          <w:i/>
          <w:iCs/>
        </w:rPr>
        <w:t>For repetition indication of Msg3 re-transmission,</w:t>
      </w:r>
      <w:r>
        <w:rPr>
          <w:rFonts w:hint="eastAsia"/>
          <w:i/>
          <w:iCs/>
          <w:lang w:val="en-US" w:eastAsia="zh-CN"/>
        </w:rPr>
        <w:t xml:space="preserve"> support </w:t>
      </w:r>
      <w:r>
        <w:rPr>
          <w:i/>
          <w:iCs/>
        </w:rPr>
        <w:t>the same mechanism as supported for Msg3 initial transmission.</w:t>
      </w:r>
      <w:r>
        <w:rPr>
          <w:rFonts w:hint="eastAsia"/>
          <w:i/>
          <w:iCs/>
          <w:lang w:val="en-US" w:eastAsia="zh-CN"/>
        </w:rPr>
        <w:t xml:space="preserve"> </w:t>
      </w:r>
    </w:p>
    <w:p>
      <w:pPr>
        <w:pStyle w:val="3"/>
        <w:numPr>
          <w:ilvl w:val="1"/>
          <w:numId w:val="1"/>
        </w:numPr>
        <w:bidi w:val="0"/>
        <w:ind w:left="576" w:leftChars="0" w:hanging="576" w:firstLineChars="0"/>
        <w:rPr>
          <w:rFonts w:hint="eastAsia"/>
          <w:i w:val="0"/>
          <w:iCs w:val="0"/>
          <w:lang w:val="en-US" w:eastAsia="zh-CN"/>
        </w:rPr>
      </w:pPr>
      <w:r>
        <w:rPr>
          <w:rFonts w:hint="eastAsia"/>
          <w:i w:val="0"/>
          <w:iCs w:val="0"/>
          <w:highlight w:val="none"/>
          <w:lang w:val="en-US" w:eastAsia="zh-CN"/>
        </w:rPr>
        <w:t xml:space="preserve"> How to interpret the information filed for indication of Msg3 repetition </w:t>
      </w:r>
    </w:p>
    <w:p>
      <w:pPr>
        <w:rPr>
          <w:rFonts w:hint="default"/>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等线" w:hAnsi="等线"/>
                <w:b/>
                <w:bCs/>
                <w:szCs w:val="22"/>
                <w:highlight w:val="green"/>
                <w:lang w:val="en-US" w:eastAsia="zh-CN"/>
              </w:rPr>
            </w:pPr>
            <w:r>
              <w:rPr>
                <w:b/>
                <w:bCs/>
                <w:highlight w:val="green"/>
              </w:rPr>
              <w:t>Agreement </w:t>
            </w:r>
          </w:p>
          <w:p>
            <w:pPr>
              <w:pStyle w:val="46"/>
              <w:spacing w:before="50" w:beforeAutospacing="0" w:after="50" w:afterAutospacing="0" w:line="210" w:lineRule="atLeast"/>
              <w:rPr>
                <w:rFonts w:eastAsia="Arial"/>
                <w:color w:val="000000"/>
                <w:sz w:val="20"/>
                <w:szCs w:val="20"/>
              </w:rPr>
            </w:pPr>
            <w:r>
              <w:rPr>
                <w:rFonts w:eastAsia="Arial"/>
                <w:color w:val="000000"/>
                <w:sz w:val="20"/>
                <w:szCs w:val="20"/>
              </w:rPr>
              <w:t>Down-select one of the two options on how a UE should interpret the selected information field for indication of the number of repetitions.</w:t>
            </w:r>
          </w:p>
          <w:p>
            <w:pPr>
              <w:widowControl w:val="0"/>
              <w:numPr>
                <w:ilvl w:val="0"/>
                <w:numId w:val="11"/>
              </w:numPr>
              <w:spacing w:before="120" w:line="280" w:lineRule="atLeast"/>
              <w:jc w:val="both"/>
              <w:rPr>
                <w:rFonts w:eastAsia="等线"/>
                <w:sz w:val="21"/>
                <w:szCs w:val="22"/>
              </w:rPr>
            </w:pPr>
            <w:r>
              <w:t>Option 1:</w:t>
            </w:r>
          </w:p>
          <w:p>
            <w:pPr>
              <w:widowControl w:val="0"/>
              <w:numPr>
                <w:ilvl w:val="0"/>
                <w:numId w:val="12"/>
              </w:numPr>
              <w:spacing w:before="120" w:line="280" w:lineRule="atLeast"/>
              <w:jc w:val="both"/>
            </w:pPr>
            <w:r>
              <w:t>When a UE requests Msg3 repetition, the new TDRA table or repurposed information field is applied. gNB schedules Msg3 with or without repetition for the UE requesting Msg3 repetition.</w:t>
            </w:r>
          </w:p>
          <w:p>
            <w:pPr>
              <w:widowControl w:val="0"/>
              <w:numPr>
                <w:ilvl w:val="1"/>
                <w:numId w:val="12"/>
              </w:numPr>
              <w:tabs>
                <w:tab w:val="left" w:pos="840"/>
              </w:tabs>
              <w:spacing w:before="120" w:line="280" w:lineRule="atLeast"/>
              <w:jc w:val="both"/>
            </w:pPr>
            <w:r>
              <w:t>Repetition factor K=1 is included in the TDRA table or one entry/codepoint of the repurposed information field.</w:t>
            </w:r>
          </w:p>
          <w:p>
            <w:pPr>
              <w:widowControl w:val="0"/>
              <w:numPr>
                <w:ilvl w:val="0"/>
                <w:numId w:val="12"/>
              </w:numPr>
              <w:spacing w:before="120" w:line="280" w:lineRule="atLeast"/>
              <w:jc w:val="both"/>
            </w:pPr>
            <w: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13"/>
              </w:numPr>
              <w:spacing w:before="50" w:beforeAutospacing="0" w:after="50" w:afterAutospacing="0" w:line="210" w:lineRule="atLeast"/>
              <w:jc w:val="both"/>
              <w:rPr>
                <w:rFonts w:eastAsia="Arial"/>
                <w:sz w:val="20"/>
                <w:szCs w:val="20"/>
              </w:rPr>
            </w:pPr>
            <w:r>
              <w:rPr>
                <w:rFonts w:eastAsia="Arial"/>
                <w:sz w:val="20"/>
                <w:szCs w:val="20"/>
              </w:rPr>
              <w:t>Option 2:</w:t>
            </w:r>
          </w:p>
          <w:p>
            <w:pPr>
              <w:widowControl w:val="0"/>
              <w:numPr>
                <w:ilvl w:val="0"/>
                <w:numId w:val="12"/>
              </w:numPr>
              <w:spacing w:before="120" w:line="280" w:lineRule="atLeast"/>
              <w:jc w:val="both"/>
              <w:rPr>
                <w:rFonts w:eastAsia="等线"/>
                <w:sz w:val="21"/>
                <w:szCs w:val="22"/>
              </w:rPr>
            </w:pPr>
            <w: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12"/>
              </w:numPr>
              <w:tabs>
                <w:tab w:val="left" w:pos="840"/>
              </w:tabs>
              <w:spacing w:before="120" w:line="280" w:lineRule="atLeast"/>
              <w:jc w:val="both"/>
            </w:pPr>
            <w:r>
              <w:t>FFS details, e.g. implicit or explicit indication or predefined.</w:t>
            </w:r>
          </w:p>
          <w:p>
            <w:pPr>
              <w:widowControl w:val="0"/>
              <w:numPr>
                <w:ilvl w:val="1"/>
                <w:numId w:val="12"/>
              </w:numPr>
              <w:tabs>
                <w:tab w:val="left" w:pos="840"/>
              </w:tabs>
              <w:spacing w:before="120" w:line="280" w:lineRule="atLeast"/>
              <w:jc w:val="both"/>
            </w:pPr>
            <w:r>
              <w:t>Repetition factor K=1 is NOT included in the TDRA table or one entry/codepoint of the repurposed information field.</w:t>
            </w:r>
          </w:p>
          <w:p>
            <w:pPr>
              <w:widowControl w:val="0"/>
              <w:numPr>
                <w:ilvl w:val="0"/>
                <w:numId w:val="12"/>
              </w:numPr>
              <w:spacing w:before="120" w:line="280" w:lineRule="atLeast"/>
              <w:jc w:val="both"/>
              <w:rPr>
                <w:rFonts w:hint="default"/>
                <w:vertAlign w:val="baseline"/>
                <w:lang w:val="en-US" w:eastAsia="zh-CN"/>
              </w:rPr>
            </w:pPr>
            <w:r>
              <w:t>When the UE doesn't request Msg3 repetition (including legacy UE), gNB schedules Msg3 without repetition. The UE applies the legacy TDRA table, or the legacy interpretation of the information field.</w:t>
            </w:r>
          </w:p>
        </w:tc>
      </w:tr>
    </w:tbl>
    <w:p>
      <w:pPr>
        <w:rPr>
          <w:rFonts w:hint="default"/>
          <w:lang w:val="en-US" w:eastAsia="zh-CN"/>
        </w:rPr>
      </w:pPr>
    </w:p>
    <w:p>
      <w:pPr>
        <w:rPr>
          <w:rFonts w:hint="eastAsia"/>
          <w:lang w:val="en-US" w:eastAsia="zh-CN"/>
        </w:rPr>
      </w:pPr>
      <w:r>
        <w:rPr>
          <w:rFonts w:hint="eastAsia"/>
          <w:lang w:val="en-US" w:eastAsia="zh-CN"/>
        </w:rPr>
        <w:t>In our view, Option 1 is much simpler and does not require additional indication. Therefore, Option 1 is preferred by us. In addition, R</w:t>
      </w:r>
      <w:r>
        <w:t xml:space="preserve">AN2 </w:t>
      </w:r>
      <w:r>
        <w:rPr>
          <w:rFonts w:hint="eastAsia"/>
          <w:lang w:val="en-US" w:eastAsia="zh-CN"/>
        </w:rPr>
        <w:t xml:space="preserve">has </w:t>
      </w:r>
      <w:r>
        <w:t>confirm</w:t>
      </w:r>
      <w:r>
        <w:rPr>
          <w:rFonts w:hint="eastAsia"/>
          <w:lang w:val="en-US" w:eastAsia="zh-CN"/>
        </w:rPr>
        <w:t xml:space="preserve">ed that </w:t>
      </w:r>
      <w:r>
        <w:t>enhancing MAC RAR for indicating MSG3 repetition is not supported</w:t>
      </w:r>
      <w:r>
        <w:rPr>
          <w:rFonts w:hint="eastAsia"/>
          <w:lang w:val="en-US" w:eastAsia="zh-CN"/>
        </w:rPr>
        <w:t xml:space="preserve">. Therefore, even if Option 2 is chosen, the additional indication can only be based on the information filed in RAR UL grant. </w:t>
      </w:r>
    </w:p>
    <w:p>
      <w:pPr>
        <w:bidi w:val="0"/>
        <w:rPr>
          <w:rFonts w:hint="eastAsia"/>
          <w:i/>
          <w:iCs/>
          <w:lang w:val="en-US" w:eastAsia="zh-CN"/>
        </w:rPr>
      </w:pPr>
      <w:r>
        <w:rPr>
          <w:rFonts w:hint="eastAsia"/>
          <w:b/>
          <w:bCs/>
          <w:i/>
          <w:iCs/>
          <w:lang w:val="en-US" w:eastAsia="zh-CN"/>
        </w:rPr>
        <w:t>Proposal 3:</w:t>
      </w:r>
      <w:r>
        <w:rPr>
          <w:rFonts w:hint="eastAsia"/>
          <w:i/>
          <w:iCs/>
          <w:lang w:val="en-US" w:eastAsia="zh-CN"/>
        </w:rPr>
        <w:t xml:space="preserve"> Regarding </w:t>
      </w:r>
      <w:r>
        <w:rPr>
          <w:i/>
          <w:iCs/>
        </w:rPr>
        <w:t>how a UE should interpret the selected information field for indication of the number of repetitions</w:t>
      </w:r>
      <w:r>
        <w:rPr>
          <w:rFonts w:hint="eastAsia"/>
          <w:i/>
          <w:iCs/>
          <w:lang w:val="en-US" w:eastAsia="zh-CN"/>
        </w:rPr>
        <w:t>, no additional signaling is needed, i.e., Option 1 is supported.</w:t>
      </w:r>
    </w:p>
    <w:p>
      <w:pPr>
        <w:pStyle w:val="2"/>
        <w:bidi w:val="0"/>
        <w:rPr>
          <w:rFonts w:hint="default"/>
          <w:highlight w:val="none"/>
          <w:lang w:val="en-US" w:eastAsia="zh-CN"/>
        </w:rPr>
      </w:pPr>
      <w:r>
        <w:rPr>
          <w:rFonts w:hint="eastAsia"/>
          <w:lang w:val="en-US" w:eastAsia="zh-CN"/>
        </w:rPr>
        <w:t xml:space="preserve"> Differentiation mechanism of Msg3 PUSCH repetition</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highlight w:val="none"/>
          <w:lang w:val="en-US" w:eastAsia="zh-CN"/>
        </w:rPr>
      </w:pPr>
      <w:r>
        <w:rPr>
          <w:rFonts w:hint="eastAsia"/>
          <w:lang w:val="en-US" w:eastAsia="zh-CN"/>
        </w:rPr>
        <w:t xml:space="preserve">In RAN1#105-e, it was agreed to use separate preamble with share ROs for requesting </w:t>
      </w:r>
      <w:r>
        <w:rPr>
          <w:rFonts w:hint="eastAsia"/>
          <w:highlight w:val="none"/>
          <w:lang w:val="en-US" w:eastAsia="zh-CN"/>
        </w:rPr>
        <w:t>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Times New Roman" w:hAnsi="Times New Roman"/>
                <w:szCs w:val="20"/>
                <w:highlight w:val="green"/>
              </w:rPr>
            </w:pPr>
            <w:r>
              <w:rPr>
                <w:rFonts w:ascii="Times New Roman" w:hAnsi="Times New Roman"/>
                <w:szCs w:val="20"/>
                <w:highlight w:val="green"/>
              </w:rPr>
              <w:t>Agreement:</w:t>
            </w:r>
          </w:p>
          <w:p>
            <w:pPr>
              <w:pStyle w:val="46"/>
              <w:numPr>
                <w:ilvl w:val="0"/>
                <w:numId w:val="14"/>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For requesting Msg3 PUSCH repetition, support the following:</w:t>
            </w:r>
          </w:p>
          <w:p>
            <w:pPr>
              <w:pStyle w:val="46"/>
              <w:numPr>
                <w:ilvl w:val="1"/>
                <w:numId w:val="14"/>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 xml:space="preserve"> Use separate preamble with shared RO configured by the same PRACH configuration index with legacy UEs.</w:t>
            </w:r>
          </w:p>
          <w:p>
            <w:pPr>
              <w:pStyle w:val="46"/>
              <w:numPr>
                <w:ilvl w:val="2"/>
                <w:numId w:val="14"/>
              </w:numPr>
              <w:shd w:val="clear" w:color="auto" w:fill="FFFFFF"/>
              <w:tabs>
                <w:tab w:val="left" w:pos="840"/>
              </w:tabs>
              <w:spacing w:before="0" w:beforeAutospacing="0" w:after="120" w:afterLines="50" w:afterAutospacing="0" w:line="280" w:lineRule="atLeast"/>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14"/>
              </w:numPr>
              <w:shd w:val="clear" w:color="auto" w:fill="FFFFFF"/>
              <w:tabs>
                <w:tab w:val="left" w:pos="840"/>
              </w:tabs>
              <w:spacing w:before="0" w:beforeAutospacing="0" w:after="120" w:afterLines="50" w:afterAutospacing="0" w:line="280" w:lineRule="atLeast"/>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FFS definition of shared RO (e.g., whether the shared RO can be an RO with preamble(s) for 4-step RACH only or with preambles for both 4-step RACH and 2-step RACH).</w:t>
            </w:r>
          </w:p>
          <w:p>
            <w:pPr>
              <w:pStyle w:val="46"/>
              <w:numPr>
                <w:ilvl w:val="1"/>
                <w:numId w:val="14"/>
              </w:numPr>
              <w:shd w:val="clear" w:color="auto" w:fill="FFFFFF"/>
              <w:tabs>
                <w:tab w:val="left" w:pos="840"/>
              </w:tabs>
              <w:spacing w:before="0" w:beforeAutospacing="0" w:after="120" w:afterLines="50" w:afterAutospacing="0" w:line="280" w:lineRule="atLeast"/>
              <w:rPr>
                <w:rFonts w:ascii="Times New Roman" w:hAnsi="Times New Roman" w:eastAsia="Calibri" w:cs="Times New Roman"/>
                <w:color w:val="auto"/>
                <w:sz w:val="20"/>
                <w:szCs w:val="20"/>
                <w:shd w:val="clear" w:color="auto" w:fill="FFFFFF"/>
              </w:rPr>
            </w:pPr>
            <w:r>
              <w:rPr>
                <w:rFonts w:ascii="Times New Roman" w:hAnsi="Times New Roman" w:cs="Times New Roman"/>
                <w:color w:val="auto"/>
                <w:sz w:val="20"/>
                <w:szCs w:val="20"/>
                <w:shd w:val="clear" w:color="auto" w:fill="FFFFFF"/>
              </w:rPr>
              <w:t>FFS whether or not to additionally support one (&amp; only one) more option:</w:t>
            </w:r>
          </w:p>
          <w:p>
            <w:pPr>
              <w:pStyle w:val="46"/>
              <w:numPr>
                <w:ilvl w:val="2"/>
                <w:numId w:val="14"/>
              </w:numPr>
              <w:shd w:val="clear" w:color="auto" w:fill="FFFFFF"/>
              <w:tabs>
                <w:tab w:val="left" w:pos="1260"/>
              </w:tabs>
              <w:spacing w:before="0" w:beforeAutospacing="0" w:after="120" w:afterLines="50" w:afterAutospacing="0" w:line="280" w:lineRule="atLeast"/>
              <w:rPr>
                <w:rFonts w:ascii="Times New Roman" w:hAnsi="Times New Roman" w:eastAsia="Calibri" w:cs="Times New Roman"/>
                <w:color w:val="auto"/>
                <w:sz w:val="20"/>
                <w:szCs w:val="20"/>
                <w:shd w:val="clear" w:color="auto" w:fill="FFFFFF"/>
              </w:rPr>
            </w:pPr>
            <w:r>
              <w:rPr>
                <w:rFonts w:ascii="Times New Roman" w:hAnsi="Times New Roman" w:cs="Times New Roman"/>
                <w:color w:val="auto"/>
                <w:sz w:val="20"/>
                <w:szCs w:val="20"/>
                <w:shd w:val="clear" w:color="auto" w:fill="FFFFFF"/>
              </w:rPr>
              <w:t>E.g., option 2: Use separate RO configured by a separate PRACH configuration index from legacy UEs</w:t>
            </w:r>
          </w:p>
          <w:p>
            <w:pPr>
              <w:pStyle w:val="46"/>
              <w:numPr>
                <w:ilvl w:val="2"/>
                <w:numId w:val="14"/>
              </w:numPr>
              <w:shd w:val="clear" w:color="auto" w:fill="FFFFFF"/>
              <w:spacing w:before="0" w:beforeAutospacing="0" w:after="120" w:afterLines="50" w:afterAutospacing="0" w:line="280" w:lineRule="atLeast"/>
              <w:rPr>
                <w:rFonts w:ascii="Times New Roman" w:hAnsi="Times New Roman" w:cs="Times New Roman"/>
                <w:color w:val="auto"/>
                <w:sz w:val="20"/>
                <w:szCs w:val="20"/>
                <w:shd w:val="clear" w:color="auto" w:fill="FFFFFF"/>
              </w:rPr>
            </w:pPr>
            <w:r>
              <w:rPr>
                <w:rFonts w:ascii="Times New Roman" w:hAnsi="Times New Roman" w:cs="Times New Roman"/>
                <w:color w:val="auto"/>
                <w:sz w:val="20"/>
                <w:szCs w:val="20"/>
                <w:shd w:val="clear" w:color="auto" w:fill="FFFFFF"/>
              </w:rPr>
              <w:t>E.g., Option 3: Use separate RO, which include</w:t>
            </w:r>
          </w:p>
          <w:p>
            <w:pPr>
              <w:pStyle w:val="46"/>
              <w:numPr>
                <w:ilvl w:val="3"/>
                <w:numId w:val="14"/>
              </w:numPr>
              <w:shd w:val="clear" w:color="auto" w:fill="FFFFFF"/>
              <w:tabs>
                <w:tab w:val="left" w:pos="840"/>
              </w:tabs>
              <w:spacing w:before="0" w:beforeAutospacing="0" w:after="120" w:afterLines="50" w:afterAutospacing="0" w:line="280" w:lineRule="atLeast"/>
              <w:rPr>
                <w:rFonts w:ascii="Times New Roman" w:hAnsi="Times New Roman" w:eastAsia="Times New Roman" w:cs="Times New Roman"/>
                <w:color w:val="auto"/>
                <w:sz w:val="20"/>
                <w:szCs w:val="20"/>
              </w:rPr>
            </w:pPr>
            <w:r>
              <w:rPr>
                <w:rFonts w:ascii="Times New Roman" w:hAnsi="Times New Roman" w:eastAsia="Times New Roman" w:cs="Times New Roman"/>
                <w:color w:val="auto"/>
                <w:sz w:val="20"/>
                <w:szCs w:val="20"/>
              </w:rPr>
              <w:t>the separate RO configured by a separate RACH configuration index from legacy UE, and</w:t>
            </w:r>
          </w:p>
          <w:p>
            <w:pPr>
              <w:pStyle w:val="46"/>
              <w:numPr>
                <w:ilvl w:val="3"/>
                <w:numId w:val="14"/>
              </w:numPr>
              <w:shd w:val="clear" w:color="auto" w:fill="FFFFFF"/>
              <w:tabs>
                <w:tab w:val="left" w:pos="840"/>
              </w:tabs>
              <w:spacing w:before="0" w:beforeAutospacing="0" w:after="120" w:afterLines="50" w:afterAutospacing="0" w:line="280" w:lineRule="atLeast"/>
              <w:rPr>
                <w:rFonts w:hint="eastAsia"/>
                <w:vertAlign w:val="baseline"/>
                <w:lang w:val="en-US" w:eastAsia="zh-CN"/>
              </w:rPr>
            </w:pPr>
            <w:r>
              <w:rPr>
                <w:rFonts w:ascii="Times New Roman" w:hAnsi="Times New Roman" w:eastAsia="Times New Roman" w:cs="Times New Roman"/>
                <w:color w:val="auto"/>
                <w:sz w:val="20"/>
                <w:szCs w:val="20"/>
              </w:rPr>
              <w:t>the remaining RO (if any) configured, by the same PRACH configuration index with legacy UEs, that cannot be used by legacy rules for PRACH transmission.</w:t>
            </w:r>
          </w:p>
        </w:tc>
      </w:tr>
    </w:tbl>
    <w:p>
      <w:pPr>
        <w:rPr>
          <w:rFonts w:hint="default"/>
          <w:lang w:val="en-US" w:eastAsia="zh-CN"/>
        </w:rPr>
      </w:pPr>
    </w:p>
    <w:p>
      <w:pPr>
        <w:numPr>
          <w:ilvl w:val="0"/>
          <w:numId w:val="0"/>
        </w:numPr>
        <w:overflowPunct w:val="0"/>
        <w:autoSpaceDE w:val="0"/>
        <w:autoSpaceDN w:val="0"/>
        <w:adjustRightInd w:val="0"/>
        <w:snapToGrid w:val="0"/>
        <w:spacing w:after="120"/>
        <w:jc w:val="both"/>
        <w:textAlignment w:val="baseline"/>
        <w:rPr>
          <w:rFonts w:hint="eastAsia"/>
          <w:lang w:val="en-US" w:eastAsia="zh-CN"/>
        </w:rPr>
      </w:pPr>
      <w:r>
        <w:rPr>
          <w:rFonts w:hint="eastAsia"/>
          <w:b w:val="0"/>
          <w:bCs w:val="0"/>
          <w:lang w:val="en-US" w:eastAsia="zh-CN"/>
        </w:rPr>
        <w:t xml:space="preserve">There are two additional options proposed for differentiation of Msg3 repetition by using separate RO. Both options require an additional separate PRACH configuration, which means additional RACH procedure for Msg3 repetition is needed. It would require </w:t>
      </w:r>
      <w:r>
        <w:rPr>
          <w:rFonts w:hint="eastAsia" w:eastAsia="宋体"/>
          <w:lang w:val="en-US" w:eastAsia="zh-CN"/>
        </w:rPr>
        <w:t>large specification impacts on the RACH procedures specified in TS 38.321</w:t>
      </w:r>
      <w:r>
        <w:rPr>
          <w:rFonts w:hint="eastAsia"/>
          <w:lang w:val="en-US" w:eastAsia="zh-CN"/>
        </w:rPr>
        <w:t>, and also increase gNB and UE complexity to maintain two independent RACH procedures. For Option 3 which additionally aims for using the remaining ROs, it would require additional specification efforts for new SSB-RO mapping. So, we in general don</w:t>
      </w:r>
      <w:r>
        <w:rPr>
          <w:rFonts w:hint="default"/>
          <w:lang w:val="en-US" w:eastAsia="zh-CN"/>
        </w:rPr>
        <w:t>’</w:t>
      </w:r>
      <w:r>
        <w:rPr>
          <w:rFonts w:hint="eastAsia"/>
          <w:lang w:val="en-US" w:eastAsia="zh-CN"/>
        </w:rPr>
        <w:t xml:space="preserve">t think additional options are needed. </w:t>
      </w:r>
    </w:p>
    <w:p>
      <w:pPr>
        <w:pStyle w:val="114"/>
        <w:numPr>
          <w:ilvl w:val="0"/>
          <w:numId w:val="0"/>
        </w:numPr>
        <w:rPr>
          <w:rFonts w:hint="default"/>
          <w:lang w:val="en-US" w:eastAsia="zh-CN"/>
        </w:rPr>
      </w:pPr>
      <w:r>
        <w:rPr>
          <w:rFonts w:hint="eastAsia"/>
          <w:lang w:val="en-US" w:eastAsia="zh-CN"/>
        </w:rPr>
        <w:t>On the other hand, RAN2 will have a common session to jointly discuss how to configure separate RACH resources for different features across different WIs, also taking into account the legacy features that using PRACH partitioning, i.e., s</w:t>
      </w:r>
      <w:r>
        <w:t>elected SSB</w:t>
      </w:r>
      <w:r>
        <w:rPr>
          <w:rFonts w:hint="eastAsia" w:eastAsia="宋体"/>
          <w:lang w:val="en-US" w:eastAsia="zh-CN"/>
        </w:rPr>
        <w:t xml:space="preserve">, </w:t>
      </w:r>
      <w:r>
        <w:t>CFRA or CBRA cause</w:t>
      </w:r>
      <w:r>
        <w:rPr>
          <w:rFonts w:hint="eastAsia" w:eastAsia="宋体"/>
          <w:lang w:val="en-US" w:eastAsia="zh-CN"/>
        </w:rPr>
        <w:t>, p</w:t>
      </w:r>
      <w:r>
        <w:t>ayload size (preamble group B configured or not)</w:t>
      </w:r>
      <w:r>
        <w:rPr>
          <w:rFonts w:hint="eastAsia" w:eastAsia="宋体"/>
          <w:lang w:val="en-US" w:eastAsia="zh-CN"/>
        </w:rPr>
        <w:t>, r</w:t>
      </w:r>
      <w:r>
        <w:t>andom access type (2-step vs 4-step RA)</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0" w:line="240" w:lineRule="auto"/>
              <w:textAlignment w:val="baseline"/>
              <w:rPr>
                <w:rFonts w:hint="default"/>
                <w:lang w:val="en-US" w:eastAsia="zh-CN"/>
              </w:rPr>
            </w:pPr>
            <w:r>
              <w:rPr>
                <w:rFonts w:hint="eastAsia"/>
                <w:lang w:val="en-US" w:eastAsia="zh-CN"/>
              </w:rPr>
              <w:t xml:space="preserve">Rel-17 features may require PRACH partitioning: </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before="120" w:after="0" w:line="240" w:lineRule="auto"/>
              <w:ind w:hanging="363"/>
              <w:textAlignment w:val="baseline"/>
            </w:pPr>
            <w:r>
              <w:t>SDT</w:t>
            </w:r>
          </w:p>
          <w:p>
            <w:pPr>
              <w:keepNext w:val="0"/>
              <w:keepLines w:val="0"/>
              <w:pageBreakBefore w:val="0"/>
              <w:widowControl/>
              <w:numPr>
                <w:ilvl w:val="1"/>
                <w:numId w:val="15"/>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pPr>
            <w:r>
              <w:t>To identify SDT cause and provide larger MSG3/MSGA payload size</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before="120" w:after="0" w:line="240" w:lineRule="auto"/>
              <w:ind w:hanging="363"/>
              <w:textAlignment w:val="baseline"/>
            </w:pPr>
            <w:r>
              <w:t>RAN slicing</w:t>
            </w:r>
          </w:p>
          <w:p>
            <w:pPr>
              <w:keepNext w:val="0"/>
              <w:keepLines w:val="0"/>
              <w:pageBreakBefore w:val="0"/>
              <w:widowControl/>
              <w:numPr>
                <w:ilvl w:val="1"/>
                <w:numId w:val="15"/>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pPr>
            <w:r>
              <w:t>For RA resource prioritisation and slice isolation</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before="120" w:after="0" w:line="240" w:lineRule="auto"/>
              <w:ind w:hanging="363"/>
              <w:textAlignment w:val="baseline"/>
            </w:pPr>
            <w:r>
              <w:t>REDCAP</w:t>
            </w:r>
          </w:p>
          <w:p>
            <w:pPr>
              <w:keepNext w:val="0"/>
              <w:keepLines w:val="0"/>
              <w:pageBreakBefore w:val="0"/>
              <w:widowControl/>
              <w:numPr>
                <w:ilvl w:val="1"/>
                <w:numId w:val="15"/>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pPr>
            <w:r>
              <w:t>For network to know the REDCAP UE at MSG1 level</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before="120" w:after="0" w:line="240" w:lineRule="auto"/>
              <w:ind w:hanging="363"/>
              <w:textAlignment w:val="baseline"/>
            </w:pPr>
            <w:r>
              <w:t>Coverage extension</w:t>
            </w:r>
          </w:p>
          <w:p>
            <w:pPr>
              <w:keepNext w:val="0"/>
              <w:keepLines w:val="0"/>
              <w:pageBreakBefore w:val="0"/>
              <w:widowControl/>
              <w:numPr>
                <w:ilvl w:val="1"/>
                <w:numId w:val="15"/>
              </w:numPr>
              <w:kinsoku/>
              <w:wordWrap/>
              <w:overflowPunct w:val="0"/>
              <w:topLinePunct w:val="0"/>
              <w:autoSpaceDE w:val="0"/>
              <w:autoSpaceDN w:val="0"/>
              <w:bidi w:val="0"/>
              <w:adjustRightInd w:val="0"/>
              <w:snapToGrid w:val="0"/>
              <w:spacing w:before="120" w:after="0" w:line="240" w:lineRule="auto"/>
              <w:ind w:left="1440" w:leftChars="0" w:hanging="363" w:firstLineChars="0"/>
              <w:textAlignment w:val="baseline"/>
              <w:rPr>
                <w:rFonts w:hint="default"/>
                <w:vertAlign w:val="baseline"/>
                <w:lang w:val="en-US" w:eastAsia="zh-CN"/>
              </w:rPr>
            </w:pPr>
            <w:r>
              <w:t xml:space="preserve">To identify the coverage extension UE at MSG1 level </w:t>
            </w:r>
          </w:p>
        </w:tc>
      </w:tr>
    </w:tbl>
    <w:p>
      <w:pPr>
        <w:numPr>
          <w:ilvl w:val="0"/>
          <w:numId w:val="0"/>
        </w:numPr>
        <w:overflowPunct w:val="0"/>
        <w:autoSpaceDE w:val="0"/>
        <w:autoSpaceDN w:val="0"/>
        <w:adjustRightInd w:val="0"/>
        <w:snapToGrid w:val="0"/>
        <w:spacing w:after="120"/>
        <w:jc w:val="both"/>
        <w:textAlignment w:val="baseline"/>
        <w:rPr>
          <w:rFonts w:hint="default"/>
          <w:lang w:val="en-US" w:eastAsia="zh-CN"/>
        </w:rPr>
      </w:pPr>
    </w:p>
    <w:p>
      <w:pPr>
        <w:numPr>
          <w:ilvl w:val="0"/>
          <w:numId w:val="0"/>
        </w:numPr>
        <w:overflowPunct w:val="0"/>
        <w:autoSpaceDE w:val="0"/>
        <w:autoSpaceDN w:val="0"/>
        <w:adjustRightInd w:val="0"/>
        <w:snapToGrid w:val="0"/>
        <w:spacing w:after="120"/>
        <w:jc w:val="both"/>
        <w:textAlignment w:val="baseline"/>
        <w:rPr>
          <w:rFonts w:hint="eastAsia"/>
          <w:lang w:val="en-US" w:eastAsia="zh-CN"/>
        </w:rPr>
      </w:pPr>
      <w:r>
        <w:rPr>
          <w:rFonts w:hint="eastAsia"/>
          <w:lang w:val="en-US" w:eastAsia="zh-CN"/>
        </w:rPr>
        <w:t xml:space="preserve">Depending on RAN2 discussion, it is possible that separate RO would be introduced for differentiating some of the features due to the lack of preambles per RO. </w:t>
      </w:r>
    </w:p>
    <w:p>
      <w:pPr>
        <w:numPr>
          <w:ilvl w:val="0"/>
          <w:numId w:val="0"/>
        </w:numPr>
        <w:overflowPunct w:val="0"/>
        <w:autoSpaceDE w:val="0"/>
        <w:autoSpaceDN w:val="0"/>
        <w:adjustRightInd w:val="0"/>
        <w:snapToGrid w:val="0"/>
        <w:spacing w:after="120"/>
        <w:jc w:val="both"/>
        <w:textAlignment w:val="baseline"/>
        <w:rPr>
          <w:rFonts w:hint="eastAsia"/>
          <w:lang w:val="en-US" w:eastAsia="zh-CN"/>
        </w:rPr>
      </w:pPr>
      <w:r>
        <w:rPr>
          <w:rFonts w:hint="eastAsia"/>
          <w:lang w:val="en-US" w:eastAsia="zh-CN"/>
        </w:rPr>
        <w:t>With above analysis, we have the following proposal.</w:t>
      </w:r>
    </w:p>
    <w:p>
      <w:pPr>
        <w:rPr>
          <w:rFonts w:hint="default" w:ascii="Times New Roman" w:hAnsi="Times New Roman" w:eastAsia="Times New Roman" w:cs="Times New Roman"/>
          <w:i/>
          <w:iCs/>
          <w:color w:val="auto"/>
          <w:sz w:val="20"/>
          <w:szCs w:val="20"/>
          <w:lang w:val="en-US"/>
        </w:rPr>
      </w:pPr>
      <w:r>
        <w:rPr>
          <w:rFonts w:hint="eastAsia" w:eastAsia="宋体"/>
          <w:b/>
          <w:bCs/>
          <w:i/>
          <w:iCs/>
          <w:lang w:val="en-US" w:eastAsia="zh-CN"/>
        </w:rPr>
        <w:t xml:space="preserve">Proposal </w:t>
      </w:r>
      <w:r>
        <w:rPr>
          <w:rFonts w:hint="eastAsia"/>
          <w:b/>
          <w:bCs/>
          <w:i/>
          <w:iCs/>
          <w:lang w:val="en-US" w:eastAsia="zh-CN"/>
        </w:rPr>
        <w:t>4</w:t>
      </w:r>
      <w:r>
        <w:rPr>
          <w:rFonts w:hint="eastAsia" w:eastAsia="宋体"/>
          <w:b/>
          <w:bCs/>
          <w:i/>
          <w:iCs/>
          <w:lang w:val="en-US" w:eastAsia="zh-CN"/>
        </w:rPr>
        <w:t xml:space="preserve">: </w:t>
      </w:r>
      <w:r>
        <w:rPr>
          <w:rFonts w:hint="eastAsia"/>
          <w:i/>
          <w:iCs/>
          <w:lang w:val="en-US" w:eastAsia="zh-CN"/>
        </w:rPr>
        <w:t xml:space="preserve">Do not support additional options (i.e., using separate RO) for requesting Msg3 repetition, unless RAN2 concludes to support with taking other features into account. </w:t>
      </w:r>
    </w:p>
    <w:p>
      <w:pPr>
        <w:pStyle w:val="2"/>
        <w:rPr>
          <w:highlight w:val="none"/>
          <w:lang w:val="en-US" w:eastAsia="zh-CN"/>
        </w:rPr>
      </w:pPr>
      <w:r>
        <w:rPr>
          <w:rFonts w:hint="eastAsia"/>
          <w:highlight w:val="none"/>
          <w:lang w:val="en-US" w:eastAsia="zh-CN"/>
        </w:rPr>
        <w:t xml:space="preserve"> Support of the number of repetitions counted on the basis of available slots for Msg3 repetition.</w:t>
      </w:r>
    </w:p>
    <w:p>
      <w:pPr>
        <w:rPr>
          <w:lang w:val="en-US"/>
        </w:rPr>
      </w:pPr>
      <w:r>
        <w:rPr>
          <w:rFonts w:hint="eastAsia"/>
          <w:lang w:val="en-US" w:eastAsia="zh-CN"/>
        </w:rPr>
        <w:t xml:space="preserve">In RAN1#106-e, the following agreements were reached on the counting of the number of repetitions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8" w:type="dxa"/>
          </w:tcPr>
          <w:p>
            <w:pPr>
              <w:shd w:val="clear" w:color="auto" w:fill="FFFFFF"/>
              <w:spacing w:before="120" w:line="280" w:lineRule="atLeast"/>
              <w:rPr>
                <w:rFonts w:ascii="等线" w:hAnsi="等线" w:eastAsia="宋体"/>
                <w:b/>
                <w:bCs/>
                <w:iCs/>
                <w:szCs w:val="22"/>
                <w:highlight w:val="green"/>
                <w:lang w:val="en-US" w:eastAsia="zh-CN"/>
              </w:rPr>
            </w:pPr>
            <w:r>
              <w:rPr>
                <w:rFonts w:eastAsia="宋体"/>
                <w:b/>
                <w:bCs/>
                <w:iCs/>
                <w:highlight w:val="green"/>
                <w:lang w:eastAsia="zh-CN"/>
              </w:rPr>
              <w:t>Agreement</w:t>
            </w:r>
          </w:p>
          <w:p>
            <w:pPr>
              <w:numPr>
                <w:ilvl w:val="0"/>
                <w:numId w:val="16"/>
              </w:numPr>
              <w:shd w:val="clear" w:color="auto" w:fill="FFFFFF"/>
              <w:tabs>
                <w:tab w:val="left" w:pos="288"/>
                <w:tab w:val="clear" w:pos="420"/>
              </w:tabs>
              <w:spacing w:before="120" w:line="280" w:lineRule="atLeast"/>
              <w:ind w:left="708"/>
              <w:rPr>
                <w:rFonts w:eastAsia="Yu Mincho"/>
                <w:i w:val="0"/>
                <w:iCs/>
                <w:color w:val="000000"/>
                <w:lang w:eastAsia="ja-JP"/>
              </w:rPr>
            </w:pPr>
            <w:r>
              <w:rPr>
                <w:rFonts w:eastAsia="宋体"/>
                <w:i w:val="0"/>
                <w:iCs/>
                <w:color w:val="000000"/>
              </w:rPr>
              <w:t xml:space="preserve">The available slot of Msg3 PUSCH repetition is only determined by the </w:t>
            </w:r>
            <w:r>
              <w:rPr>
                <w:i w:val="0"/>
                <w:iCs/>
                <w:color w:val="000000"/>
              </w:rPr>
              <w:t>tdd-UL-DL-ConfigurationCommon and ssb-PositionsInBurst</w:t>
            </w:r>
            <w:r>
              <w:rPr>
                <w:rFonts w:eastAsia="宋体"/>
                <w:i w:val="0"/>
                <w:iCs/>
                <w:color w:val="000000"/>
              </w:rPr>
              <w:t xml:space="preserve">, no other additional Rel-16 signals/signalings will be considered. </w:t>
            </w:r>
          </w:p>
          <w:p>
            <w:pPr>
              <w:numPr>
                <w:ilvl w:val="0"/>
                <w:numId w:val="16"/>
              </w:numPr>
              <w:shd w:val="clear" w:color="auto" w:fill="FFFFFF"/>
              <w:tabs>
                <w:tab w:val="left" w:pos="688"/>
                <w:tab w:val="clear" w:pos="420"/>
              </w:tabs>
              <w:spacing w:before="120" w:line="280" w:lineRule="atLeast"/>
              <w:ind w:left="688" w:leftChars="344"/>
              <w:rPr>
                <w:rFonts w:eastAsia="Yu Mincho"/>
                <w:i w:val="0"/>
                <w:iCs/>
                <w:color w:val="auto"/>
                <w:lang w:eastAsia="ja-JP"/>
              </w:rPr>
            </w:pPr>
            <w:r>
              <w:rPr>
                <w:rFonts w:eastAsia="Yu Mincho"/>
                <w:i w:val="0"/>
                <w:iCs/>
                <w:lang w:eastAsia="ja-JP"/>
              </w:rPr>
              <w:t>If a symbol for Msg3 repetition in a slot overlaps with SSB transmission [FFS:</w:t>
            </w:r>
            <w:r>
              <w:rPr>
                <w:rFonts w:hint="eastAsia" w:eastAsia="Yu Mincho"/>
                <w:i w:val="0"/>
                <w:iCs/>
                <w:lang w:eastAsia="ja-JP"/>
              </w:rPr>
              <w:t>N</w:t>
            </w:r>
            <w:r>
              <w:rPr>
                <w:rFonts w:eastAsia="Yu Mincho"/>
                <w:i w:val="0"/>
                <w:iCs/>
                <w:lang w:eastAsia="ja-JP"/>
              </w:rPr>
              <w:t xml:space="preserve"> </w:t>
            </w:r>
            <w:r>
              <w:rPr>
                <w:rFonts w:hint="eastAsia" w:eastAsia="Yu Mincho"/>
                <w:i w:val="0"/>
                <w:iCs/>
                <w:lang w:eastAsia="ja-JP"/>
              </w:rPr>
              <w:t>Gap</w:t>
            </w:r>
            <w:r>
              <w:rPr>
                <w:rFonts w:eastAsia="Yu Mincho"/>
                <w:i w:val="0"/>
                <w:iCs/>
                <w:lang w:eastAsia="ja-JP"/>
              </w:rPr>
              <w:t xml:space="preserve"> s</w:t>
            </w:r>
            <w:r>
              <w:rPr>
                <w:rFonts w:hint="eastAsia" w:eastAsia="Yu Mincho"/>
                <w:i w:val="0"/>
                <w:iCs/>
                <w:lang w:eastAsia="ja-JP"/>
              </w:rPr>
              <w:t>ymbols</w:t>
            </w:r>
            <w:r>
              <w:rPr>
                <w:rFonts w:eastAsia="Yu Mincho"/>
                <w:i w:val="0"/>
                <w:iCs/>
                <w:lang w:eastAsia="ja-JP"/>
              </w:rPr>
              <w:t xml:space="preserve"> after SSB], the slot is determined as not available during the counting of repetitions</w:t>
            </w:r>
            <w:r>
              <w:rPr>
                <w:rFonts w:hint="eastAsia" w:ascii="等线" w:hAnsi="等线" w:eastAsia="等线"/>
                <w:i w:val="0"/>
                <w:iCs/>
                <w:lang w:eastAsia="zh-CN"/>
              </w:rPr>
              <w:t>.</w:t>
            </w:r>
            <w:r>
              <w:rPr>
                <w:rFonts w:eastAsia="Yu Mincho"/>
                <w:i w:val="0"/>
                <w:iCs/>
                <w:lang w:eastAsia="ja-JP"/>
              </w:rPr>
              <w:t xml:space="preserve"> </w:t>
            </w:r>
            <w:r>
              <w:rPr>
                <w:rFonts w:eastAsia="Yu Mincho"/>
                <w:i w:val="0"/>
                <w:iCs/>
                <w:color w:val="auto"/>
                <w:lang w:eastAsia="ja-JP"/>
              </w:rPr>
              <w:t xml:space="preserve">As there is no </w:t>
            </w:r>
            <w:r>
              <w:rPr>
                <w:rFonts w:eastAsia="宋体"/>
                <w:i w:val="0"/>
                <w:iCs/>
                <w:color w:val="auto"/>
              </w:rPr>
              <w:t xml:space="preserve">Msg3 repetition </w:t>
            </w:r>
            <w:r>
              <w:rPr>
                <w:rFonts w:eastAsia="Yu Mincho"/>
                <w:i w:val="0"/>
                <w:iCs/>
                <w:color w:val="auto"/>
                <w:lang w:eastAsia="ja-JP"/>
              </w:rPr>
              <w:t xml:space="preserve">in the slot, no </w:t>
            </w:r>
            <w:r>
              <w:rPr>
                <w:rFonts w:eastAsia="宋体"/>
                <w:i w:val="0"/>
                <w:iCs/>
                <w:color w:val="auto"/>
              </w:rPr>
              <w:t xml:space="preserve">Msg3 repetition </w:t>
            </w:r>
            <w:r>
              <w:rPr>
                <w:rFonts w:eastAsia="Yu Mincho"/>
                <w:i w:val="0"/>
                <w:iCs/>
                <w:color w:val="auto"/>
                <w:lang w:eastAsia="ja-JP"/>
              </w:rPr>
              <w:t>omission applies to the slot.</w:t>
            </w:r>
          </w:p>
          <w:p>
            <w:pPr>
              <w:shd w:val="clear" w:color="auto" w:fill="FFFFFF"/>
              <w:spacing w:before="120" w:line="280" w:lineRule="atLeast"/>
              <w:rPr>
                <w:rFonts w:eastAsia="宋体"/>
                <w:b/>
                <w:bCs/>
                <w:iCs/>
                <w:highlight w:val="green"/>
                <w:lang w:val="en-US" w:eastAsia="zh-CN"/>
              </w:rPr>
            </w:pPr>
            <w:r>
              <w:rPr>
                <w:rFonts w:eastAsia="宋体"/>
                <w:b/>
                <w:bCs/>
                <w:iCs/>
                <w:highlight w:val="green"/>
                <w:lang w:val="en-US" w:eastAsia="zh-CN"/>
              </w:rPr>
              <w:t xml:space="preserve">Agreement </w:t>
            </w:r>
          </w:p>
          <w:p>
            <w:pPr>
              <w:spacing w:before="120" w:beforeLines="50" w:line="280" w:lineRule="atLeast"/>
              <w:rPr>
                <w:b w:val="0"/>
                <w:bCs w:val="0"/>
                <w:color w:val="auto"/>
                <w:lang w:val="en-US" w:eastAsia="zh-CN"/>
              </w:rPr>
            </w:pPr>
            <w:r>
              <w:rPr>
                <w:rFonts w:eastAsia="宋体"/>
                <w:b w:val="0"/>
                <w:bCs w:val="0"/>
                <w:color w:val="auto"/>
                <w:lang w:val="en-US" w:eastAsia="zh-CN"/>
              </w:rPr>
              <w:t>The Rel-15/</w:t>
            </w:r>
            <w:r>
              <w:rPr>
                <w:b w:val="0"/>
                <w:bCs w:val="0"/>
                <w:color w:val="auto"/>
                <w:lang w:eastAsia="zh-CN"/>
              </w:rPr>
              <w:t xml:space="preserve">16 </w:t>
            </w:r>
            <w:r>
              <w:rPr>
                <w:b w:val="0"/>
                <w:bCs w:val="0"/>
                <w:color w:val="auto"/>
                <w:lang w:val="en-US" w:eastAsia="zh-CN"/>
              </w:rPr>
              <w:t xml:space="preserve">Msg3 PUSCH collision handling rules are reused for transmission of Msg3 PUSCH repetition in an available slot. </w:t>
            </w:r>
          </w:p>
          <w:p>
            <w:pPr>
              <w:numPr>
                <w:ilvl w:val="0"/>
                <w:numId w:val="17"/>
              </w:numPr>
              <w:spacing w:before="120" w:afterLines="50" w:line="240" w:lineRule="auto"/>
              <w:ind w:left="726" w:hanging="363"/>
              <w:jc w:val="left"/>
              <w:rPr>
                <w:rFonts w:eastAsia="宋体"/>
                <w:b w:val="0"/>
                <w:bCs w:val="0"/>
                <w:color w:val="auto"/>
                <w:u w:val="none"/>
                <w:lang w:val="en-US" w:eastAsia="zh-CN"/>
              </w:rPr>
            </w:pPr>
            <w:r>
              <w:rPr>
                <w:rFonts w:eastAsia="宋体"/>
                <w:b w:val="0"/>
                <w:bCs w:val="0"/>
                <w:color w:val="auto"/>
                <w:u w:val="none"/>
                <w:lang w:val="en-US" w:eastAsia="zh-CN"/>
              </w:rPr>
              <w:t xml:space="preserve">FFS whether collision with downlink symbols indicated by </w:t>
            </w:r>
            <w:r>
              <w:rPr>
                <w:b w:val="0"/>
                <w:bCs w:val="0"/>
                <w:i/>
                <w:iCs/>
                <w:color w:val="auto"/>
                <w:u w:val="none"/>
              </w:rPr>
              <w:t>tdd-UL-DL-ConfigurationDedicated</w:t>
            </w:r>
            <w:r>
              <w:rPr>
                <w:rFonts w:eastAsia="宋体"/>
                <w:b w:val="0"/>
                <w:bCs w:val="0"/>
                <w:color w:val="auto"/>
                <w:u w:val="none"/>
                <w:lang w:val="en-US" w:eastAsia="zh-CN"/>
              </w:rPr>
              <w:t xml:space="preserve"> is an exceptional case, i.e., Msg3 PUSCH repetition cannot be canceled by downlink symbols indicated by </w:t>
            </w:r>
            <w:r>
              <w:rPr>
                <w:b w:val="0"/>
                <w:bCs w:val="0"/>
                <w:i/>
                <w:iCs/>
                <w:color w:val="auto"/>
                <w:u w:val="none"/>
              </w:rPr>
              <w:t>tdd-UL-DL-ConfigurationDedicated</w:t>
            </w:r>
            <w:r>
              <w:rPr>
                <w:rFonts w:eastAsia="宋体"/>
                <w:b w:val="0"/>
                <w:bCs w:val="0"/>
                <w:color w:val="auto"/>
                <w:u w:val="none"/>
                <w:lang w:val="en-US" w:eastAsia="zh-CN"/>
              </w:rPr>
              <w:t xml:space="preserve"> in Rel-17. </w:t>
            </w:r>
          </w:p>
          <w:p>
            <w:pPr>
              <w:numPr>
                <w:ilvl w:val="0"/>
                <w:numId w:val="17"/>
              </w:numPr>
              <w:spacing w:before="120" w:afterLines="50" w:line="240" w:lineRule="auto"/>
              <w:ind w:left="726" w:hanging="363"/>
              <w:jc w:val="left"/>
              <w:rPr>
                <w:rFonts w:eastAsia="Yu Mincho"/>
                <w:i w:val="0"/>
                <w:iCs/>
                <w:color w:val="auto"/>
                <w:lang w:eastAsia="ja-JP"/>
              </w:rPr>
            </w:pPr>
            <w:r>
              <w:rPr>
                <w:b w:val="0"/>
                <w:bCs w:val="0"/>
                <w:color w:val="auto"/>
                <w:lang w:eastAsia="zh-CN"/>
              </w:rPr>
              <w:t xml:space="preserve">FFS: Rel-17 </w:t>
            </w:r>
            <w:r>
              <w:rPr>
                <w:b w:val="0"/>
                <w:bCs w:val="0"/>
                <w:color w:val="auto"/>
                <w:lang w:val="en-US" w:eastAsia="zh-CN"/>
              </w:rPr>
              <w:t>Msg3 PUSCH collision</w:t>
            </w:r>
            <w:r>
              <w:rPr>
                <w:b w:val="0"/>
                <w:bCs w:val="0"/>
                <w:color w:val="auto"/>
                <w:lang w:eastAsia="zh-CN"/>
              </w:rPr>
              <w:t xml:space="preserve"> rules are also applied if introduced in other WI(s)</w:t>
            </w:r>
          </w:p>
        </w:tc>
      </w:tr>
    </w:tbl>
    <w:p/>
    <w:p>
      <w:pPr>
        <w:numPr>
          <w:ilvl w:val="0"/>
          <w:numId w:val="0"/>
        </w:numPr>
        <w:rPr>
          <w:rFonts w:hint="default"/>
          <w:i w:val="0"/>
          <w:iCs w:val="0"/>
          <w:lang w:val="en-US" w:eastAsia="zh-CN"/>
        </w:rPr>
      </w:pPr>
      <w:r>
        <w:rPr>
          <w:rFonts w:hint="eastAsia"/>
          <w:lang w:val="en-US" w:eastAsia="zh-CN"/>
        </w:rPr>
        <w:t xml:space="preserve">One main remaining issue is about whether to introduce additional indication for use of </w:t>
      </w:r>
      <w:r>
        <w:rPr>
          <w:rFonts w:hint="eastAsia" w:eastAsia="宋体"/>
          <w:i w:val="0"/>
          <w:iCs w:val="0"/>
          <w:sz w:val="20"/>
          <w:szCs w:val="20"/>
          <w:shd w:val="clear" w:color="auto" w:fill="FFFFFF"/>
          <w:lang w:val="en-US" w:eastAsia="zh-CN"/>
        </w:rPr>
        <w:t xml:space="preserve">flexible slots/symbols indicated via </w:t>
      </w:r>
      <w:r>
        <w:rPr>
          <w:rFonts w:hint="eastAsia" w:eastAsia="宋体"/>
          <w:i/>
          <w:iCs/>
          <w:sz w:val="20"/>
          <w:szCs w:val="20"/>
          <w:shd w:val="clear" w:color="auto" w:fill="FFFFFF"/>
          <w:lang w:val="en-US" w:eastAsia="zh-CN"/>
        </w:rPr>
        <w:t>TDD-UL-DL-Configcommon</w:t>
      </w:r>
      <w:r>
        <w:rPr>
          <w:rFonts w:hint="eastAsia"/>
          <w:i/>
          <w:iCs/>
          <w:sz w:val="20"/>
          <w:szCs w:val="20"/>
          <w:shd w:val="clear" w:color="auto" w:fill="FFFFFF"/>
          <w:lang w:val="en-US" w:eastAsia="zh-CN"/>
        </w:rPr>
        <w:t>.</w:t>
      </w:r>
      <w:r>
        <w:rPr>
          <w:rFonts w:hint="eastAsia"/>
          <w:i w:val="0"/>
          <w:iCs w:val="0"/>
          <w:sz w:val="20"/>
          <w:szCs w:val="20"/>
          <w:shd w:val="clear" w:color="auto" w:fill="FFFFFF"/>
          <w:lang w:val="en-US" w:eastAsia="zh-CN"/>
        </w:rPr>
        <w:t xml:space="preserve"> In the following, our further analysis about this issue is provided. </w:t>
      </w:r>
    </w:p>
    <w:p>
      <w:pPr>
        <w:numPr>
          <w:ilvl w:val="0"/>
          <w:numId w:val="0"/>
        </w:numPr>
        <w:overflowPunct w:val="0"/>
        <w:autoSpaceDE w:val="0"/>
        <w:autoSpaceDN w:val="0"/>
        <w:adjustRightInd w:val="0"/>
        <w:snapToGrid w:val="0"/>
        <w:spacing w:after="120"/>
        <w:jc w:val="both"/>
        <w:textAlignment w:val="baseline"/>
        <w:rPr>
          <w:rFonts w:hint="eastAsia" w:eastAsia="宋体"/>
          <w:shd w:val="clear" w:color="auto" w:fill="FFFFFF"/>
          <w:lang w:val="en-US" w:eastAsia="zh-CN"/>
        </w:rPr>
      </w:pPr>
      <w:r>
        <w:rPr>
          <w:rFonts w:hint="eastAsia"/>
          <w:lang w:val="en-US" w:eastAsia="zh-CN"/>
        </w:rPr>
        <w:t xml:space="preserve">In RAN1#106-e, it was a common understanding that the flexible symbols </w:t>
      </w:r>
      <w:r>
        <w:rPr>
          <w:rFonts w:hint="eastAsia" w:eastAsia="宋体"/>
          <w:i w:val="0"/>
          <w:iCs w:val="0"/>
          <w:shd w:val="clear" w:color="auto" w:fill="FFFFFF"/>
          <w:lang w:val="en-US" w:eastAsia="zh-CN"/>
        </w:rPr>
        <w:t>indicated by t</w:t>
      </w:r>
      <w:r>
        <w:rPr>
          <w:rFonts w:hint="eastAsia" w:eastAsia="宋体"/>
          <w:i/>
          <w:iCs/>
          <w:shd w:val="clear" w:color="auto" w:fill="FFFFFF"/>
          <w:lang w:val="en-US" w:eastAsia="zh-CN"/>
        </w:rPr>
        <w:t>dd-UL-DL-ConfigurationCommon</w:t>
      </w:r>
      <w:r>
        <w:rPr>
          <w:rFonts w:hint="eastAsia" w:eastAsia="宋体"/>
          <w:i w:val="0"/>
          <w:iCs w:val="0"/>
          <w:shd w:val="clear" w:color="auto" w:fill="FFFFFF"/>
          <w:lang w:val="en-US" w:eastAsia="zh-CN"/>
        </w:rPr>
        <w:t xml:space="preserve"> can be</w:t>
      </w:r>
      <w:r>
        <w:rPr>
          <w:rFonts w:hint="eastAsia" w:eastAsia="宋体"/>
          <w:i w:val="0"/>
          <w:iCs w:val="0"/>
          <w:color w:val="FF0000"/>
          <w:shd w:val="clear" w:color="auto" w:fill="FFFFFF"/>
          <w:lang w:val="en-US" w:eastAsia="zh-CN"/>
        </w:rPr>
        <w:t xml:space="preserve"> </w:t>
      </w:r>
      <w:r>
        <w:rPr>
          <w:rFonts w:hint="eastAsia" w:eastAsia="宋体"/>
          <w:i w:val="0"/>
          <w:iCs w:val="0"/>
          <w:shd w:val="clear" w:color="auto" w:fill="FFFFFF"/>
          <w:lang w:val="en-US" w:eastAsia="zh-CN"/>
        </w:rPr>
        <w:t>regarded as available symbols for Msg3 PUSCH repetition</w:t>
      </w:r>
      <w:r>
        <w:rPr>
          <w:rFonts w:hint="eastAsia"/>
          <w:i w:val="0"/>
          <w:iCs w:val="0"/>
          <w:shd w:val="clear" w:color="auto" w:fill="FFFFFF"/>
          <w:lang w:val="en-US" w:eastAsia="zh-CN"/>
        </w:rPr>
        <w:t xml:space="preserve">. While there is no consensus about whether to additionally introduce explicit indication for indicating whether </w:t>
      </w:r>
      <w:r>
        <w:rPr>
          <w:rFonts w:hint="eastAsia" w:eastAsia="宋体"/>
          <w:i w:val="0"/>
          <w:iCs w:val="0"/>
          <w:sz w:val="20"/>
          <w:szCs w:val="20"/>
          <w:shd w:val="clear" w:color="auto" w:fill="FFFFFF"/>
          <w:lang w:val="en-US" w:eastAsia="zh-CN"/>
        </w:rPr>
        <w:t xml:space="preserve">flexible slots/symbols indicated via </w:t>
      </w:r>
      <w:r>
        <w:rPr>
          <w:rFonts w:hint="eastAsia" w:eastAsia="宋体"/>
          <w:i/>
          <w:iCs/>
          <w:sz w:val="20"/>
          <w:szCs w:val="20"/>
          <w:shd w:val="clear" w:color="auto" w:fill="FFFFFF"/>
          <w:lang w:val="en-US" w:eastAsia="zh-CN"/>
        </w:rPr>
        <w:t>TDD-UL-DL-Configcommon</w:t>
      </w:r>
      <w:r>
        <w:rPr>
          <w:rFonts w:hint="eastAsia" w:eastAsia="宋体"/>
          <w:i w:val="0"/>
          <w:iCs w:val="0"/>
          <w:sz w:val="20"/>
          <w:szCs w:val="20"/>
          <w:shd w:val="clear" w:color="auto" w:fill="FFFFFF"/>
          <w:lang w:val="en-US" w:eastAsia="zh-CN"/>
        </w:rPr>
        <w:t xml:space="preserve"> </w:t>
      </w:r>
      <w:r>
        <w:rPr>
          <w:rFonts w:hint="eastAsia"/>
          <w:i w:val="0"/>
          <w:iCs w:val="0"/>
          <w:sz w:val="20"/>
          <w:szCs w:val="20"/>
          <w:shd w:val="clear" w:color="auto" w:fill="FFFFFF"/>
          <w:lang w:val="en-US" w:eastAsia="zh-CN"/>
        </w:rPr>
        <w:t>can be used</w:t>
      </w:r>
      <w:r>
        <w:rPr>
          <w:rFonts w:hint="eastAsia" w:eastAsia="宋体"/>
          <w:i w:val="0"/>
          <w:iCs w:val="0"/>
          <w:sz w:val="20"/>
          <w:szCs w:val="20"/>
          <w:shd w:val="clear" w:color="auto" w:fill="FFFFFF"/>
          <w:lang w:val="en-US" w:eastAsia="zh-CN"/>
        </w:rPr>
        <w:t xml:space="preserve"> for Msg3 repetition.</w:t>
      </w:r>
    </w:p>
    <w:p>
      <w:pPr>
        <w:numPr>
          <w:ilvl w:val="0"/>
          <w:numId w:val="0"/>
        </w:numPr>
        <w:rPr>
          <w:rFonts w:hint="default" w:eastAsia="宋体"/>
          <w:iCs/>
          <w:lang w:val="en-US" w:eastAsia="zh-CN"/>
        </w:rPr>
      </w:pPr>
      <w:r>
        <w:rPr>
          <w:rFonts w:hint="eastAsia" w:eastAsia="宋体"/>
          <w:shd w:val="clear" w:color="auto" w:fill="FFFFFF"/>
          <w:lang w:val="en-US" w:eastAsia="zh-CN"/>
        </w:rPr>
        <w:t xml:space="preserve">As the example shown in </w:t>
      </w:r>
      <w:r>
        <w:rPr>
          <w:rFonts w:hint="eastAsia"/>
          <w:lang w:val="en-US" w:eastAsia="zh-CN"/>
        </w:rPr>
        <w:t xml:space="preserve">Figure 3.3-1 of FL summary in </w:t>
      </w:r>
      <w:r>
        <w:rPr>
          <w:rFonts w:hint="eastAsia" w:eastAsia="宋体"/>
          <w:shd w:val="clear" w:color="auto" w:fill="FFFFFF"/>
          <w:lang w:val="en-US" w:eastAsia="zh-CN"/>
        </w:rPr>
        <w:t>[</w:t>
      </w:r>
      <w:r>
        <w:rPr>
          <w:rFonts w:hint="eastAsia"/>
          <w:shd w:val="clear" w:color="auto" w:fill="FFFFFF"/>
          <w:lang w:val="en-US" w:eastAsia="zh-CN"/>
        </w:rPr>
        <w:t>2</w:t>
      </w:r>
      <w:r>
        <w:rPr>
          <w:rFonts w:hint="eastAsia" w:eastAsia="宋体"/>
          <w:shd w:val="clear" w:color="auto" w:fill="FFFFFF"/>
          <w:lang w:val="en-US" w:eastAsia="zh-CN"/>
        </w:rPr>
        <w:t xml:space="preserve">], it may cause ambiguity between gNB and UE about whether a Msg3 repetition is transmitted or not, if one Msg3 repetition transmitting on flexible symbols indicated by </w:t>
      </w:r>
      <w:r>
        <w:rPr>
          <w:rFonts w:hint="eastAsia" w:eastAsia="宋体"/>
          <w:i/>
          <w:iCs/>
          <w:shd w:val="clear" w:color="auto" w:fill="FFFFFF"/>
          <w:lang w:val="en-US" w:eastAsia="zh-CN"/>
        </w:rPr>
        <w:t>dd-UL-DL-ConfigurationCommon</w:t>
      </w:r>
      <w:r>
        <w:rPr>
          <w:rFonts w:hint="eastAsia"/>
          <w:i/>
          <w:iCs/>
          <w:shd w:val="clear" w:color="auto" w:fill="FFFFFF"/>
          <w:lang w:val="en-US" w:eastAsia="zh-CN"/>
        </w:rPr>
        <w:t xml:space="preserve"> </w:t>
      </w:r>
      <w:r>
        <w:rPr>
          <w:rFonts w:hint="eastAsia" w:eastAsia="宋体"/>
          <w:shd w:val="clear" w:color="auto" w:fill="FFFFFF"/>
          <w:lang w:val="en-US" w:eastAsia="zh-CN"/>
        </w:rPr>
        <w:t xml:space="preserve">could be canceled. In Rel-16, there are two cancellation cases: </w:t>
      </w:r>
    </w:p>
    <w:p>
      <w:pPr>
        <w:numPr>
          <w:ilvl w:val="0"/>
          <w:numId w:val="16"/>
        </w:numPr>
        <w:ind w:left="840" w:leftChars="0" w:hanging="420" w:firstLineChars="0"/>
        <w:rPr>
          <w:rFonts w:hint="eastAsia"/>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0"/>
          <w:numId w:val="16"/>
        </w:numPr>
        <w:ind w:left="840" w:leftChars="0" w:hanging="420" w:firstLineChars="0"/>
        <w:rPr>
          <w:rFonts w:hint="eastAsia"/>
          <w:lang w:val="en-US" w:eastAsia="zh-CN"/>
        </w:rPr>
      </w:pPr>
      <w:r>
        <w:rPr>
          <w:rFonts w:hint="eastAsia"/>
          <w:lang w:val="en-US" w:eastAsia="zh-CN"/>
        </w:rPr>
        <w:t>Case b):  Symbols configured for SSB transmission.</w:t>
      </w:r>
    </w:p>
    <w:p>
      <w:pPr>
        <w:numPr>
          <w:ilvl w:val="0"/>
          <w:numId w:val="0"/>
        </w:numPr>
        <w:rPr>
          <w:rFonts w:hint="default"/>
          <w:lang w:val="en-US" w:eastAsia="zh-CN"/>
        </w:rPr>
      </w:pPr>
      <w:r>
        <w:rPr>
          <w:rFonts w:hint="eastAsia"/>
          <w:lang w:val="en-US" w:eastAsia="zh-CN"/>
        </w:rPr>
        <w:t xml:space="preserve">Note that, Msg3 transmission would not be canceled by SFI. Detailed legacy collision rules are summarized in Appendix A. </w:t>
      </w:r>
    </w:p>
    <w:p>
      <w:pPr>
        <w:numPr>
          <w:ilvl w:val="0"/>
          <w:numId w:val="0"/>
        </w:numPr>
        <w:rPr>
          <w:rFonts w:hint="eastAsia"/>
          <w:i w:val="0"/>
          <w:iCs w:val="0"/>
          <w:u w:val="none"/>
          <w:lang w:val="en-US" w:eastAsia="zh-CN"/>
        </w:rPr>
      </w:pPr>
      <w:r>
        <w:rPr>
          <w:rFonts w:hint="eastAsia"/>
          <w:i w:val="0"/>
          <w:iCs w:val="0"/>
          <w:sz w:val="20"/>
          <w:szCs w:val="20"/>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i w:val="0"/>
          <w:iCs w:val="0"/>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i w:val="0"/>
          <w:iCs w:val="0"/>
          <w:lang w:val="en-US" w:eastAsia="zh-CN"/>
        </w:rPr>
        <w:t xml:space="preserve">and SSB transmission would not be used for canceling Msg3 repetition as </w:t>
      </w:r>
      <w:r>
        <w:rPr>
          <w:rFonts w:eastAsia="Yu Mincho"/>
          <w:i w:val="0"/>
          <w:iCs/>
          <w:color w:val="auto"/>
          <w:lang w:eastAsia="ja-JP"/>
        </w:rPr>
        <w:t xml:space="preserve">there is no </w:t>
      </w:r>
      <w:r>
        <w:rPr>
          <w:rFonts w:eastAsia="宋体"/>
          <w:i w:val="0"/>
          <w:iCs/>
          <w:color w:val="auto"/>
        </w:rPr>
        <w:t xml:space="preserve">Msg3 repetition </w:t>
      </w:r>
      <w:r>
        <w:rPr>
          <w:rFonts w:eastAsia="Yu Mincho"/>
          <w:i w:val="0"/>
          <w:iCs/>
          <w:color w:val="auto"/>
          <w:lang w:eastAsia="ja-JP"/>
        </w:rPr>
        <w:t xml:space="preserve">in </w:t>
      </w:r>
      <w:r>
        <w:rPr>
          <w:rFonts w:hint="eastAsia" w:eastAsia="宋体"/>
          <w:i w:val="0"/>
          <w:iCs/>
          <w:color w:val="auto"/>
          <w:lang w:val="en-US" w:eastAsia="zh-CN"/>
        </w:rPr>
        <w:t>the slot</w:t>
      </w:r>
      <w:r>
        <w:rPr>
          <w:rFonts w:hint="eastAsia"/>
          <w:i w:val="0"/>
          <w:iCs/>
          <w:color w:val="auto"/>
          <w:lang w:val="en-US" w:eastAsia="zh-CN"/>
        </w:rPr>
        <w:t xml:space="preserve"> </w:t>
      </w:r>
      <w:r>
        <w:rPr>
          <w:rFonts w:eastAsia="Yu Mincho"/>
          <w:i w:val="0"/>
          <w:iCs/>
          <w:lang w:eastAsia="ja-JP"/>
        </w:rPr>
        <w:t>with SSB transmission</w:t>
      </w:r>
      <w:r>
        <w:rPr>
          <w:rFonts w:hint="eastAsia" w:eastAsia="宋体"/>
          <w:i w:val="0"/>
          <w:iCs/>
          <w:color w:val="auto"/>
          <w:lang w:val="en-US" w:eastAsia="zh-CN"/>
        </w:rPr>
        <w:t xml:space="preserve">. </w:t>
      </w:r>
      <w:r>
        <w:rPr>
          <w:rFonts w:hint="eastAsia" w:eastAsia="宋体"/>
          <w:i w:val="0"/>
          <w:iCs/>
          <w:color w:val="auto"/>
          <w:u w:val="single"/>
          <w:lang w:val="en-US" w:eastAsia="zh-CN"/>
        </w:rPr>
        <w:t>Then, the only canceling case is due to 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eastAsia"/>
          <w:i w:val="0"/>
          <w:iCs w:val="0"/>
          <w:u w:val="none"/>
          <w:lang w:val="en-US" w:eastAsia="zh-CN"/>
        </w:rPr>
        <w:t xml:space="preserve"> There could be three alternative solutions.</w:t>
      </w:r>
    </w:p>
    <w:p>
      <w:pPr>
        <w:numPr>
          <w:ilvl w:val="0"/>
          <w:numId w:val="16"/>
        </w:numPr>
        <w:ind w:left="840" w:leftChars="0" w:hanging="420" w:firstLineChars="0"/>
        <w:rPr>
          <w:rFonts w:hint="default"/>
          <w:i w:val="0"/>
          <w:iCs w:val="0"/>
          <w:u w:val="none"/>
          <w:lang w:val="en-US" w:eastAsia="zh-CN"/>
        </w:rPr>
      </w:pPr>
      <w:r>
        <w:rPr>
          <w:rFonts w:hint="eastAsia"/>
          <w:i w:val="0"/>
          <w:iCs w:val="0"/>
          <w:u w:val="none"/>
          <w:lang w:val="en-US" w:eastAsia="zh-CN"/>
        </w:rPr>
        <w:t xml:space="preserve">Alt 1: The legacy canceling case due to collision with </w:t>
      </w:r>
      <w:r>
        <w:rPr>
          <w:rFonts w:hint="eastAsia" w:eastAsia="宋体"/>
          <w:i w:val="0"/>
          <w:iCs w:val="0"/>
          <w:color w:val="auto"/>
          <w:u w:val="none"/>
          <w:lang w:val="en-US" w:eastAsia="zh-CN"/>
        </w:rPr>
        <w:t>d</w:t>
      </w:r>
      <w:r>
        <w:rPr>
          <w:rFonts w:hint="eastAsia"/>
          <w:i w:val="0"/>
          <w:iCs w:val="0"/>
          <w:u w:val="none"/>
          <w:lang w:val="en-US" w:eastAsia="zh-CN"/>
        </w:rPr>
        <w:t xml:space="preserve">ownlink symbols indicated by </w:t>
      </w:r>
      <w:r>
        <w:rPr>
          <w:rFonts w:hint="eastAsia"/>
          <w:i/>
          <w:iCs/>
          <w:u w:val="none"/>
          <w:lang w:val="en-US" w:eastAsia="zh-CN"/>
        </w:rPr>
        <w:t>tdd-UL-DL-ConfigurationDedicated</w:t>
      </w:r>
      <w:r>
        <w:rPr>
          <w:rFonts w:hint="eastAsia"/>
          <w:i w:val="0"/>
          <w:iCs w:val="0"/>
          <w:u w:val="none"/>
          <w:lang w:val="en-US" w:eastAsia="zh-CN"/>
        </w:rPr>
        <w:t xml:space="preserve"> is NOT reused. In other words, Msg3 PUSCH repetition cannot be canceled by </w:t>
      </w:r>
      <w:r>
        <w:rPr>
          <w:rFonts w:hint="eastAsia" w:eastAsia="宋体"/>
          <w:i w:val="0"/>
          <w:iCs w:val="0"/>
          <w:color w:val="auto"/>
          <w:u w:val="none"/>
          <w:lang w:val="en-US" w:eastAsia="zh-CN"/>
        </w:rPr>
        <w:t>d</w:t>
      </w:r>
      <w:r>
        <w:rPr>
          <w:rFonts w:hint="eastAsia"/>
          <w:i w:val="0"/>
          <w:iCs w:val="0"/>
          <w:u w:val="none"/>
          <w:lang w:val="en-US" w:eastAsia="zh-CN"/>
        </w:rPr>
        <w:t xml:space="preserve">ownlink symbols indicated by </w:t>
      </w:r>
      <w:r>
        <w:rPr>
          <w:rFonts w:hint="eastAsia"/>
          <w:i/>
          <w:iCs/>
          <w:u w:val="none"/>
          <w:lang w:val="en-US" w:eastAsia="zh-CN"/>
        </w:rPr>
        <w:t xml:space="preserve">tdd-UL-DL-ConfigurationDedicated. </w:t>
      </w:r>
    </w:p>
    <w:p>
      <w:pPr>
        <w:numPr>
          <w:ilvl w:val="0"/>
          <w:numId w:val="16"/>
        </w:numPr>
        <w:ind w:left="840" w:leftChars="0" w:hanging="420" w:firstLineChars="0"/>
        <w:rPr>
          <w:i w:val="0"/>
          <w:iCs w:val="0"/>
          <w:sz w:val="20"/>
          <w:szCs w:val="20"/>
          <w:u w:val="single"/>
        </w:rPr>
      </w:pPr>
      <w:r>
        <w:rPr>
          <w:rFonts w:hint="eastAsia"/>
          <w:i w:val="0"/>
          <w:iCs w:val="0"/>
          <w:u w:val="none"/>
          <w:lang w:val="en-US" w:eastAsia="zh-CN"/>
        </w:rPr>
        <w:t xml:space="preserve"> Alt 2: L</w:t>
      </w:r>
      <w:r>
        <w:rPr>
          <w:rFonts w:hint="eastAsia"/>
          <w:i w:val="0"/>
          <w:iCs w:val="0"/>
          <w:sz w:val="20"/>
          <w:szCs w:val="20"/>
          <w:shd w:val="clear" w:color="auto" w:fill="FFFFFF"/>
          <w:lang w:val="en-US" w:eastAsia="zh-CN"/>
        </w:rPr>
        <w:t xml:space="preserve">egacy cancellation case due to </w:t>
      </w:r>
      <w:r>
        <w:rPr>
          <w:rFonts w:hint="eastAsia"/>
          <w:i w:val="0"/>
          <w:iCs w:val="0"/>
          <w:u w:val="none"/>
          <w:lang w:val="en-US" w:eastAsia="zh-CN"/>
        </w:rPr>
        <w:t xml:space="preserve">collision with </w:t>
      </w:r>
      <w:r>
        <w:rPr>
          <w:rFonts w:hint="eastAsia" w:eastAsia="宋体"/>
          <w:i w:val="0"/>
          <w:iCs w:val="0"/>
          <w:color w:val="auto"/>
          <w:u w:val="none"/>
          <w:lang w:val="en-US" w:eastAsia="zh-CN"/>
        </w:rPr>
        <w:t>d</w:t>
      </w:r>
      <w:r>
        <w:rPr>
          <w:rFonts w:hint="eastAsia"/>
          <w:i w:val="0"/>
          <w:iCs w:val="0"/>
          <w:u w:val="none"/>
          <w:lang w:val="en-US" w:eastAsia="zh-CN"/>
        </w:rPr>
        <w:t xml:space="preserve">ownlink symbols indicated by </w:t>
      </w:r>
      <w:r>
        <w:rPr>
          <w:rFonts w:hint="eastAsia"/>
          <w:i/>
          <w:iCs/>
          <w:u w:val="none"/>
          <w:lang w:val="en-US" w:eastAsia="zh-CN"/>
        </w:rPr>
        <w:t>tdd-UL-DL-ConfigurationDedicated</w:t>
      </w:r>
      <w:r>
        <w:rPr>
          <w:rFonts w:hint="eastAsia"/>
          <w:i w:val="0"/>
          <w:iCs w:val="0"/>
          <w:u w:val="none"/>
          <w:lang w:val="en-US" w:eastAsia="zh-CN"/>
        </w:rPr>
        <w:t xml:space="preserve"> is reused, and a</w:t>
      </w:r>
      <w:r>
        <w:rPr>
          <w:rFonts w:eastAsia="宋体"/>
          <w:i w:val="0"/>
          <w:iCs w:val="0"/>
          <w:sz w:val="20"/>
          <w:szCs w:val="20"/>
          <w:shd w:val="clear" w:color="auto" w:fill="FFFFFF"/>
        </w:rPr>
        <w:t xml:space="preserve">dditional explicit indication is introduced to indicate whether flexible slots/symbols indicated via </w:t>
      </w:r>
      <w:r>
        <w:rPr>
          <w:rFonts w:eastAsia="宋体"/>
          <w:i/>
          <w:iCs/>
          <w:sz w:val="20"/>
          <w:szCs w:val="20"/>
          <w:shd w:val="clear" w:color="auto" w:fill="FFFFFF"/>
        </w:rPr>
        <w:t>TDD-UL-DL-Configcommon</w:t>
      </w:r>
      <w:r>
        <w:rPr>
          <w:rFonts w:eastAsia="宋体"/>
          <w:i w:val="0"/>
          <w:iCs w:val="0"/>
          <w:sz w:val="20"/>
          <w:szCs w:val="20"/>
          <w:shd w:val="clear" w:color="auto" w:fill="FFFFFF"/>
        </w:rPr>
        <w:t xml:space="preserve"> are available for Msg3 repetition. </w:t>
      </w:r>
    </w:p>
    <w:p>
      <w:pPr>
        <w:numPr>
          <w:ilvl w:val="0"/>
          <w:numId w:val="16"/>
        </w:numPr>
        <w:ind w:left="840" w:leftChars="0" w:hanging="420" w:firstLineChars="0"/>
        <w:rPr>
          <w:i w:val="0"/>
          <w:iCs w:val="0"/>
          <w:sz w:val="20"/>
          <w:szCs w:val="20"/>
          <w:u w:val="single"/>
        </w:rPr>
      </w:pPr>
      <w:r>
        <w:rPr>
          <w:rFonts w:hint="eastAsia"/>
          <w:i w:val="0"/>
          <w:iCs w:val="0"/>
          <w:sz w:val="20"/>
          <w:szCs w:val="20"/>
          <w:shd w:val="clear" w:color="auto" w:fill="FFFFFF"/>
          <w:lang w:val="en-US" w:eastAsia="zh-CN"/>
        </w:rPr>
        <w:t xml:space="preserve"> Alt 3: Legacy cancellation case due to </w:t>
      </w:r>
      <w:r>
        <w:rPr>
          <w:rFonts w:hint="eastAsia"/>
          <w:i w:val="0"/>
          <w:iCs w:val="0"/>
          <w:u w:val="none"/>
          <w:lang w:val="en-US" w:eastAsia="zh-CN"/>
        </w:rPr>
        <w:t xml:space="preserve">collision with </w:t>
      </w:r>
      <w:r>
        <w:rPr>
          <w:rFonts w:hint="eastAsia" w:eastAsia="宋体"/>
          <w:i w:val="0"/>
          <w:iCs w:val="0"/>
          <w:color w:val="auto"/>
          <w:u w:val="none"/>
          <w:lang w:val="en-US" w:eastAsia="zh-CN"/>
        </w:rPr>
        <w:t>d</w:t>
      </w:r>
      <w:r>
        <w:rPr>
          <w:rFonts w:hint="eastAsia"/>
          <w:i w:val="0"/>
          <w:iCs w:val="0"/>
          <w:u w:val="none"/>
          <w:lang w:val="en-US" w:eastAsia="zh-CN"/>
        </w:rPr>
        <w:t xml:space="preserve">ownlink symbols indicated by </w:t>
      </w:r>
      <w:r>
        <w:rPr>
          <w:rFonts w:hint="eastAsia"/>
          <w:i/>
          <w:iCs/>
          <w:u w:val="none"/>
          <w:lang w:val="en-US" w:eastAsia="zh-CN"/>
        </w:rPr>
        <w:t>tdd-UL-DL-ConfigurationDedicated</w:t>
      </w:r>
      <w:r>
        <w:rPr>
          <w:rFonts w:hint="eastAsia"/>
          <w:i w:val="0"/>
          <w:iCs w:val="0"/>
          <w:u w:val="none"/>
          <w:lang w:val="en-US" w:eastAsia="zh-CN"/>
        </w:rPr>
        <w:t xml:space="preserve"> is reused, and </w:t>
      </w:r>
      <w:r>
        <w:rPr>
          <w:rFonts w:hint="eastAsia"/>
          <w:i w:val="0"/>
          <w:iCs w:val="0"/>
          <w:sz w:val="20"/>
          <w:szCs w:val="20"/>
          <w:shd w:val="clear" w:color="auto" w:fill="FFFFFF"/>
          <w:lang w:val="en-US" w:eastAsia="zh-CN"/>
        </w:rPr>
        <w:t>n</w:t>
      </w:r>
      <w:r>
        <w:rPr>
          <w:rFonts w:eastAsia="宋体"/>
          <w:i w:val="0"/>
          <w:iCs w:val="0"/>
          <w:sz w:val="20"/>
          <w:szCs w:val="20"/>
          <w:shd w:val="clear" w:color="auto" w:fill="FFFFFF"/>
        </w:rPr>
        <w:t>o additional indication</w:t>
      </w:r>
      <w:r>
        <w:rPr>
          <w:rFonts w:hint="eastAsia"/>
          <w:i w:val="0"/>
          <w:iCs w:val="0"/>
          <w:sz w:val="20"/>
          <w:szCs w:val="20"/>
          <w:shd w:val="clear" w:color="auto" w:fill="FFFFFF"/>
          <w:lang w:val="en-US" w:eastAsia="zh-CN"/>
        </w:rPr>
        <w:t xml:space="preserve"> is to be introduced. </w:t>
      </w:r>
    </w:p>
    <w:p>
      <w:pPr>
        <w:numPr>
          <w:ilvl w:val="0"/>
          <w:numId w:val="0"/>
        </w:numPr>
        <w:rPr>
          <w:rFonts w:hint="eastAsia"/>
          <w:i w:val="0"/>
          <w:iCs/>
          <w:color w:val="auto"/>
          <w:u w:val="none"/>
          <w:lang w:val="en-US" w:eastAsia="zh-CN"/>
        </w:rPr>
      </w:pPr>
      <w:r>
        <w:rPr>
          <w:rFonts w:hint="eastAsia"/>
          <w:i w:val="0"/>
          <w:iCs w:val="0"/>
          <w:u w:val="none"/>
          <w:lang w:val="en-US" w:eastAsia="zh-CN"/>
        </w:rPr>
        <w:t xml:space="preserve">In our view, Alt 3 is more like a super set of Alt 1, because Alt 3 could either avoid the cancellation case (i.e., Alt 1) by gNB scheduling or allow the cancellation case but resolving the ambiguity issue </w:t>
      </w:r>
      <w:r>
        <w:rPr>
          <w:rFonts w:hint="eastAsia" w:eastAsia="宋体"/>
          <w:i w:val="0"/>
          <w:iCs/>
          <w:color w:val="auto"/>
          <w:u w:val="none"/>
          <w:lang w:val="en-US" w:eastAsia="zh-CN"/>
        </w:rPr>
        <w:t xml:space="preserve">by </w:t>
      </w:r>
      <w:r>
        <w:rPr>
          <w:rFonts w:hint="eastAsia"/>
          <w:i w:val="0"/>
          <w:iCs/>
          <w:color w:val="auto"/>
          <w:u w:val="none"/>
          <w:lang w:val="en-US" w:eastAsia="zh-CN"/>
        </w:rPr>
        <w:t>gNB i</w:t>
      </w:r>
      <w:r>
        <w:rPr>
          <w:rFonts w:hint="eastAsia" w:eastAsia="宋体"/>
          <w:i w:val="0"/>
          <w:iCs/>
          <w:color w:val="auto"/>
          <w:u w:val="none"/>
          <w:lang w:val="en-US" w:eastAsia="zh-CN"/>
        </w:rPr>
        <w:t>mplementation, e.g., do some blind decoding</w:t>
      </w:r>
      <w:r>
        <w:rPr>
          <w:rFonts w:hint="eastAsia"/>
          <w:i w:val="0"/>
          <w:iCs/>
          <w:color w:val="auto"/>
          <w:u w:val="none"/>
          <w:lang w:val="en-US" w:eastAsia="zh-CN"/>
        </w:rPr>
        <w:t xml:space="preserve">. On the other hand, Alt 1 could technically provide better flexibility for gNB scheduling. However, it would require more specification impacts and it may not be able to conclude on a specific solution in this last RAN1 meeting. </w:t>
      </w:r>
    </w:p>
    <w:p>
      <w:pPr>
        <w:numPr>
          <w:ilvl w:val="0"/>
          <w:numId w:val="0"/>
        </w:numPr>
        <w:rPr>
          <w:rFonts w:hint="default"/>
          <w:i w:val="0"/>
          <w:iCs/>
          <w:color w:val="auto"/>
          <w:u w:val="none"/>
          <w:lang w:val="en-US" w:eastAsia="zh-CN"/>
        </w:rPr>
      </w:pPr>
      <w:r>
        <w:rPr>
          <w:rFonts w:hint="eastAsia"/>
          <w:i w:val="0"/>
          <w:iCs/>
          <w:color w:val="auto"/>
          <w:u w:val="none"/>
          <w:lang w:val="en-US" w:eastAsia="zh-CN"/>
        </w:rPr>
        <w:t xml:space="preserve">As analyzed above, we have the following proposal. </w:t>
      </w:r>
    </w:p>
    <w:p>
      <w:pPr>
        <w:numPr>
          <w:ilvl w:val="0"/>
          <w:numId w:val="0"/>
        </w:numPr>
        <w:rPr>
          <w:rFonts w:hint="eastAsia" w:eastAsia="宋体"/>
          <w:b/>
          <w:bCs/>
          <w:i/>
          <w:iCs/>
          <w:lang w:val="en-US" w:eastAsia="zh-CN"/>
        </w:rPr>
      </w:pPr>
      <w:r>
        <w:rPr>
          <w:rFonts w:hint="eastAsia" w:eastAsia="宋体"/>
          <w:b/>
          <w:bCs/>
          <w:i/>
          <w:iCs/>
          <w:lang w:val="en-US" w:eastAsia="zh-CN"/>
        </w:rPr>
        <w:t xml:space="preserve">Proposal </w:t>
      </w:r>
      <w:r>
        <w:rPr>
          <w:rFonts w:hint="eastAsia"/>
          <w:b/>
          <w:bCs/>
          <w:i/>
          <w:iCs/>
          <w:lang w:val="en-US" w:eastAsia="zh-CN"/>
        </w:rPr>
        <w:t>5</w:t>
      </w:r>
      <w:r>
        <w:rPr>
          <w:rFonts w:hint="eastAsia" w:eastAsia="宋体"/>
          <w:b/>
          <w:bCs/>
          <w:i/>
          <w:iCs/>
          <w:lang w:val="en-US" w:eastAsia="zh-CN"/>
        </w:rPr>
        <w:t xml:space="preserve">: </w:t>
      </w:r>
      <w:r>
        <w:rPr>
          <w:rFonts w:hint="eastAsia"/>
          <w:i/>
          <w:iCs/>
          <w:sz w:val="20"/>
          <w:szCs w:val="20"/>
          <w:shd w:val="clear" w:color="auto" w:fill="FFFFFF"/>
          <w:lang w:val="en-US" w:eastAsia="zh-CN"/>
        </w:rPr>
        <w:t xml:space="preserve">Legacy cancellation case due to </w:t>
      </w:r>
      <w:r>
        <w:rPr>
          <w:rFonts w:hint="eastAsia"/>
          <w:i/>
          <w:iCs/>
          <w:u w:val="none"/>
          <w:lang w:val="en-US" w:eastAsia="zh-CN"/>
        </w:rPr>
        <w:t xml:space="preserve">collision with </w:t>
      </w:r>
      <w:r>
        <w:rPr>
          <w:rFonts w:hint="eastAsia" w:eastAsia="宋体"/>
          <w:i/>
          <w:iCs/>
          <w:color w:val="auto"/>
          <w:u w:val="none"/>
          <w:lang w:val="en-US" w:eastAsia="zh-CN"/>
        </w:rPr>
        <w:t>d</w:t>
      </w:r>
      <w:r>
        <w:rPr>
          <w:rFonts w:hint="eastAsia"/>
          <w:i/>
          <w:iCs/>
          <w:u w:val="none"/>
          <w:lang w:val="en-US" w:eastAsia="zh-CN"/>
        </w:rPr>
        <w:t xml:space="preserve">ownlink symbols indicated by tdd-UL-DL-ConfigurationDedicated is reused, and </w:t>
      </w:r>
      <w:r>
        <w:rPr>
          <w:rFonts w:hint="eastAsia"/>
          <w:i/>
          <w:iCs/>
          <w:sz w:val="20"/>
          <w:szCs w:val="20"/>
          <w:shd w:val="clear" w:color="auto" w:fill="FFFFFF"/>
          <w:lang w:val="en-US" w:eastAsia="zh-CN"/>
        </w:rPr>
        <w:t>n</w:t>
      </w:r>
      <w:r>
        <w:rPr>
          <w:rFonts w:eastAsia="宋体"/>
          <w:i/>
          <w:iCs/>
          <w:sz w:val="20"/>
          <w:szCs w:val="20"/>
          <w:shd w:val="clear" w:color="auto" w:fill="FFFFFF"/>
        </w:rPr>
        <w:t>o additional indication</w:t>
      </w:r>
      <w:r>
        <w:rPr>
          <w:rFonts w:hint="eastAsia"/>
          <w:i/>
          <w:iCs/>
          <w:sz w:val="20"/>
          <w:szCs w:val="20"/>
          <w:shd w:val="clear" w:color="auto" w:fill="FFFFFF"/>
          <w:lang w:val="en-US" w:eastAsia="zh-CN"/>
        </w:rPr>
        <w:t xml:space="preserve"> is to be introduced. </w:t>
      </w:r>
    </w:p>
    <w:p>
      <w:pPr>
        <w:pStyle w:val="2"/>
        <w:bidi w:val="0"/>
        <w:rPr>
          <w:rFonts w:hint="eastAsia"/>
          <w:lang w:val="en-US" w:eastAsia="zh-CN"/>
        </w:rPr>
      </w:pPr>
      <w:r>
        <w:rPr>
          <w:rFonts w:hint="eastAsia"/>
          <w:lang w:val="en-US" w:eastAsia="zh-CN"/>
        </w:rPr>
        <w:t xml:space="preserve"> RV pattern</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default"/>
          <w:lang w:val="en-US" w:eastAsia="zh-CN"/>
        </w:rPr>
      </w:pPr>
      <w:r>
        <w:rPr>
          <w:rFonts w:hint="eastAsia"/>
          <w:lang w:val="en-US" w:eastAsia="zh-CN"/>
        </w:rPr>
        <w:t>In RAN1#105-e, the following agreements were reached regarding the RV determination for Msg3 repetition</w:t>
      </w:r>
      <w:r>
        <w:rPr>
          <w:rFonts w:hint="eastAsia"/>
          <w:highlight w:val="none"/>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pPr>
            <w:r>
              <w:rPr>
                <w:highlight w:val="green"/>
              </w:rPr>
              <w:t>Agreement</w:t>
            </w:r>
            <w:r>
              <w:t>: Use a fixed RV sequence [0 2 3 1] for repetition of Msg3 initial and re-transmission.</w:t>
            </w:r>
          </w:p>
          <w:p>
            <w:pPr>
              <w:numPr>
                <w:ilvl w:val="0"/>
                <w:numId w:val="18"/>
              </w:numPr>
              <w:spacing w:before="120" w:line="280" w:lineRule="atLeast"/>
            </w:pPr>
            <w:r>
              <w:t>The RV cycling for Msg3 initial transmission follows the rule specified in the first row in Table 6.1.2.1-2 in TS38.214</w:t>
            </w:r>
            <w:r>
              <w:rPr>
                <w:rFonts w:hint="eastAsia"/>
              </w:rPr>
              <w:t>.</w:t>
            </w:r>
            <w:r>
              <w:t> </w:t>
            </w:r>
          </w:p>
          <w:p>
            <w:pPr>
              <w:numPr>
                <w:ilvl w:val="0"/>
                <w:numId w:val="18"/>
              </w:numPr>
              <w:spacing w:before="120" w:line="280" w:lineRule="atLeast"/>
            </w:pPr>
            <w:r>
              <w:t>The RV cycling for Msg3 re-transmission follows the rules specified in Table 6.1.2.1-2 in TS38.214</w:t>
            </w:r>
            <w:r>
              <w:rPr>
                <w:rFonts w:hint="eastAsia"/>
              </w:rPr>
              <w:t>.</w:t>
            </w:r>
          </w:p>
          <w:p>
            <w:pPr>
              <w:numPr>
                <w:ilvl w:val="0"/>
                <w:numId w:val="18"/>
              </w:numPr>
              <w:spacing w:before="120" w:line="280" w:lineRule="atLeast"/>
              <w:rPr>
                <w:rFonts w:hint="eastAsia"/>
                <w:vertAlign w:val="baseline"/>
                <w:lang w:val="en-US" w:eastAsia="zh-CN"/>
              </w:rPr>
            </w:pPr>
            <w:r>
              <w:t>FFS: The RV cycling for Msg3 is based on transmission occasions on available slot.</w:t>
            </w:r>
          </w:p>
        </w:tc>
      </w:tr>
    </w:tbl>
    <w:p>
      <w:pPr>
        <w:rPr>
          <w:rFonts w:hint="eastAsia"/>
          <w:lang w:val="en-US" w:eastAsia="zh-CN"/>
        </w:rPr>
      </w:pPr>
    </w:p>
    <w:p>
      <w:pPr>
        <w:rPr>
          <w:rFonts w:hint="default"/>
          <w:lang w:val="en-US" w:eastAsia="zh-CN"/>
        </w:rPr>
      </w:pPr>
      <w:r>
        <w:rPr>
          <w:rFonts w:hint="eastAsia"/>
          <w:lang w:val="en-US" w:eastAsia="zh-CN"/>
        </w:rPr>
        <w:t>One remaining issue is how to determine the RV</w:t>
      </w:r>
      <w:r>
        <w:t xml:space="preserve"> cycling for Msg3 is based on transmission occasions on available slot.</w:t>
      </w:r>
      <w:r>
        <w:rPr>
          <w:rFonts w:hint="eastAsia"/>
          <w:lang w:val="en-US" w:eastAsia="zh-CN"/>
        </w:rPr>
        <w:t xml:space="preserve"> In our view, similar approach that agreed for enhanced PUSCH repetition type A could be reused here. Thus we have the following proposal. </w:t>
      </w:r>
    </w:p>
    <w:p>
      <w:pPr>
        <w:rPr>
          <w:rFonts w:eastAsia="Yu Mincho"/>
          <w:bCs/>
          <w:i/>
          <w:iCs/>
          <w:szCs w:val="20"/>
          <w:lang w:eastAsia="ja-JP"/>
        </w:rPr>
      </w:pPr>
      <w:r>
        <w:rPr>
          <w:rFonts w:hint="eastAsia"/>
          <w:b/>
          <w:bCs/>
          <w:i/>
          <w:iCs/>
          <w:highlight w:val="none"/>
          <w:lang w:val="en-US" w:eastAsia="zh-CN"/>
        </w:rPr>
        <w:t xml:space="preserve">Proposal 6: </w:t>
      </w:r>
      <w:r>
        <w:rPr>
          <w:rFonts w:eastAsia="Yu Mincho"/>
          <w:bCs/>
          <w:i/>
          <w:iCs/>
          <w:szCs w:val="20"/>
          <w:lang w:eastAsia="ja-JP"/>
        </w:rPr>
        <w:t xml:space="preserve">Each available slot identified by the UE is considered as a transmission occasion for </w:t>
      </w:r>
      <w:r>
        <w:rPr>
          <w:rFonts w:hint="eastAsia" w:eastAsia="宋体"/>
          <w:bCs/>
          <w:i/>
          <w:iCs/>
          <w:szCs w:val="20"/>
          <w:lang w:val="en-US" w:eastAsia="zh-CN"/>
        </w:rPr>
        <w:t xml:space="preserve">Msg3 </w:t>
      </w:r>
      <w:r>
        <w:rPr>
          <w:rFonts w:eastAsia="Yu Mincho"/>
          <w:bCs/>
          <w:i/>
          <w:iCs/>
          <w:szCs w:val="20"/>
          <w:lang w:eastAsia="ja-JP"/>
        </w:rPr>
        <w:t>PUSCH repetition.</w:t>
      </w:r>
    </w:p>
    <w:p>
      <w:pPr>
        <w:pStyle w:val="114"/>
        <w:numPr>
          <w:ilvl w:val="0"/>
          <w:numId w:val="19"/>
        </w:numPr>
        <w:overflowPunct w:val="0"/>
        <w:autoSpaceDE w:val="0"/>
        <w:autoSpaceDN w:val="0"/>
        <w:adjustRightInd w:val="0"/>
        <w:spacing w:after="180" w:line="256" w:lineRule="auto"/>
        <w:ind w:left="720" w:leftChars="0" w:hanging="360" w:firstLineChars="0"/>
        <w:jc w:val="both"/>
        <w:rPr>
          <w:rFonts w:hint="eastAsia"/>
          <w:i/>
          <w:iCs/>
          <w:color w:val="auto"/>
          <w:lang w:val="en-US" w:eastAsia="zh-CN"/>
        </w:rPr>
      </w:pPr>
      <w:r>
        <w:rPr>
          <w:rFonts w:eastAsia="Yu Mincho"/>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Yu Mincho"/>
          <w:bCs/>
          <w:i/>
          <w:iCs/>
          <w:szCs w:val="20"/>
          <w:lang w:eastAsia="ja-JP"/>
        </w:rPr>
        <w:t>PUSCH transmission in the transmission occasion is further omitted or not.</w:t>
      </w:r>
    </w:p>
    <w:p>
      <w:pPr>
        <w:pStyle w:val="2"/>
        <w:bidi w:val="0"/>
        <w:rPr>
          <w:rFonts w:hint="eastAsia"/>
          <w:lang w:val="en-US" w:eastAsia="zh-CN"/>
        </w:rPr>
      </w:pPr>
      <w:r>
        <w:rPr>
          <w:rFonts w:hint="eastAsia"/>
          <w:lang w:val="en-US" w:eastAsia="zh-CN"/>
        </w:rPr>
        <w:t xml:space="preserve"> Whether PUSCH repetition is supported for CFRA PUSCH</w:t>
      </w:r>
    </w:p>
    <w:p>
      <w:pPr>
        <w:rPr>
          <w:rFonts w:eastAsiaTheme="minorEastAsia"/>
          <w:lang w:val="en-US" w:eastAsia="zh-CN"/>
        </w:rPr>
      </w:pPr>
      <w:r>
        <w:rPr>
          <w:rFonts w:hint="eastAsia" w:eastAsia="宋体"/>
          <w:lang w:val="en-US" w:eastAsia="zh-CN"/>
        </w:rPr>
        <w:t xml:space="preserve">The following agreements were reached for CFRA PUSCH in </w:t>
      </w:r>
      <w:r>
        <w:rPr>
          <w:rFonts w:eastAsiaTheme="minorEastAsia"/>
          <w:lang w:eastAsia="zh-CN"/>
        </w:rPr>
        <w:t>RAN1#102e</w:t>
      </w:r>
      <w:r>
        <w:rPr>
          <w:rFonts w:hint="eastAsia" w:eastAsiaTheme="minor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4" w:type="dxa"/>
          </w:tcPr>
          <w:p>
            <w:pPr>
              <w:widowControl w:val="0"/>
              <w:overflowPunct/>
              <w:autoSpaceDE/>
              <w:autoSpaceDN/>
              <w:adjustRightInd/>
              <w:snapToGrid/>
              <w:spacing w:before="120" w:after="0" w:line="240" w:lineRule="auto"/>
              <w:jc w:val="both"/>
              <w:textAlignment w:val="auto"/>
              <w:rPr>
                <w:rFonts w:eastAsia="等线"/>
                <w:kern w:val="2"/>
                <w:szCs w:val="21"/>
                <w:highlight w:val="green"/>
                <w:lang w:val="en-US" w:eastAsia="zh-CN"/>
              </w:rPr>
            </w:pPr>
            <w:r>
              <w:rPr>
                <w:rFonts w:eastAsia="等线"/>
                <w:kern w:val="2"/>
                <w:szCs w:val="21"/>
                <w:highlight w:val="green"/>
                <w:lang w:val="en-US" w:eastAsia="zh-CN"/>
              </w:rPr>
              <w:t>Agreements:</w:t>
            </w:r>
          </w:p>
          <w:p>
            <w:pPr>
              <w:widowControl w:val="0"/>
              <w:overflowPunct/>
              <w:autoSpaceDE/>
              <w:autoSpaceDN/>
              <w:adjustRightInd/>
              <w:snapToGrid/>
              <w:spacing w:before="120" w:after="0" w:line="240" w:lineRule="auto"/>
              <w:jc w:val="both"/>
              <w:textAlignment w:val="auto"/>
              <w:rPr>
                <w:rFonts w:eastAsiaTheme="minorEastAsia"/>
                <w:lang w:val="en-US" w:eastAsia="zh-CN"/>
              </w:rPr>
            </w:pPr>
            <w:r>
              <w:rPr>
                <w:rFonts w:eastAsia="等线"/>
                <w:kern w:val="2"/>
                <w:szCs w:val="21"/>
                <w:lang w:val="en-US" w:eastAsia="zh-CN"/>
              </w:rPr>
              <w:t>Enhancement to PUSCH scheduled by RAR UL grant will not consider the optimization specific for CFRA case in NR coverage SI.</w:t>
            </w: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Our understanding is that PUSCH repetition can be supported for CFRA while RAN1 will not do any optimization specific for CFRA. Currently, in most places of the NR specifications, a PUSCH scheduled by RAR UL grant, which includes both Msg3 initial transmission and CFRA PUSCH, is widely used. That is, there is no differentiation of PHY layer handling for Msg3 PUSCH and CFRA PUSCH in most typical cases. This would not introduce more specification efforts, instead can reduce the specification impacts. </w:t>
      </w:r>
    </w:p>
    <w:p>
      <w:pPr>
        <w:rPr>
          <w:rFonts w:hint="default"/>
          <w:b w:val="0"/>
          <w:bCs w:val="0"/>
          <w:i/>
          <w:iCs/>
          <w:lang w:val="en-US" w:eastAsia="zh-CN"/>
        </w:rPr>
      </w:pPr>
      <w:r>
        <w:rPr>
          <w:rFonts w:hint="eastAsia" w:eastAsia="宋体"/>
          <w:b/>
          <w:bCs/>
          <w:i/>
          <w:iCs/>
          <w:lang w:val="en-US" w:eastAsia="zh-CN"/>
        </w:rPr>
        <w:t xml:space="preserve">Proposal </w:t>
      </w:r>
      <w:r>
        <w:rPr>
          <w:rFonts w:hint="eastAsia"/>
          <w:b/>
          <w:bCs/>
          <w:i/>
          <w:iCs/>
          <w:lang w:val="en-US" w:eastAsia="zh-CN"/>
        </w:rPr>
        <w:t>7</w:t>
      </w:r>
      <w:r>
        <w:rPr>
          <w:rFonts w:hint="eastAsia" w:eastAsia="宋体"/>
          <w:b/>
          <w:bCs/>
          <w:i/>
          <w:iCs/>
          <w:lang w:val="en-US" w:eastAsia="zh-CN"/>
        </w:rPr>
        <w:t xml:space="preserve">: </w:t>
      </w:r>
      <w:r>
        <w:rPr>
          <w:rFonts w:hint="eastAsia" w:eastAsia="宋体"/>
          <w:i/>
          <w:iCs/>
          <w:lang w:val="en-US" w:eastAsia="zh-CN"/>
        </w:rPr>
        <w:t xml:space="preserve">PUSCH repetition is supported for </w:t>
      </w:r>
      <w:r>
        <w:rPr>
          <w:rFonts w:hint="eastAsia" w:eastAsiaTheme="minorEastAsia"/>
          <w:i/>
          <w:iCs/>
          <w:lang w:val="en-US" w:eastAsia="zh-CN"/>
        </w:rPr>
        <w:t xml:space="preserve">a PUSCH scheduled by RAR UL grant including </w:t>
      </w:r>
      <w:r>
        <w:rPr>
          <w:rFonts w:hint="eastAsia" w:eastAsia="宋体"/>
          <w:i/>
          <w:iCs/>
          <w:lang w:val="en-US" w:eastAsia="zh-CN"/>
        </w:rPr>
        <w:t xml:space="preserve">CFRA PUSCH, while no </w:t>
      </w:r>
      <w:r>
        <w:rPr>
          <w:rFonts w:eastAsia="等线"/>
          <w:i/>
          <w:iCs/>
          <w:kern w:val="2"/>
          <w:szCs w:val="21"/>
          <w:lang w:val="en-US" w:eastAsia="zh-CN"/>
        </w:rPr>
        <w:t xml:space="preserve">optimization specific for CFRA </w:t>
      </w:r>
      <w:r>
        <w:rPr>
          <w:rFonts w:hint="eastAsia" w:eastAsia="等线"/>
          <w:i/>
          <w:iCs/>
          <w:kern w:val="2"/>
          <w:szCs w:val="21"/>
          <w:lang w:val="en-US" w:eastAsia="zh-CN"/>
        </w:rPr>
        <w:t xml:space="preserve">PUSCH is considered. </w:t>
      </w:r>
    </w:p>
    <w:p>
      <w:pPr>
        <w:pStyle w:val="2"/>
        <w:tabs>
          <w:tab w:val="left" w:pos="432"/>
        </w:tabs>
        <w:spacing w:beforeLines="0" w:after="180" w:afterLines="50"/>
        <w:rPr>
          <w:highlight w:val="none"/>
        </w:rPr>
      </w:pPr>
      <w:r>
        <w:rPr>
          <w:rFonts w:hint="eastAsia"/>
          <w:highlight w:val="none"/>
          <w:lang w:val="en-US" w:eastAsia="zh-CN"/>
        </w:rPr>
        <w:t xml:space="preserve"> </w:t>
      </w: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bidi w:val="0"/>
        <w:rPr>
          <w:rFonts w:hint="default" w:eastAsiaTheme="minorEastAsia"/>
          <w:i/>
          <w:iCs/>
          <w:highlight w:val="none"/>
          <w:lang w:val="en-US" w:eastAsia="zh-CN"/>
        </w:rPr>
      </w:pPr>
      <w:r>
        <w:rPr>
          <w:rFonts w:hint="eastAsia" w:eastAsiaTheme="minorEastAsia"/>
          <w:b/>
          <w:bCs/>
          <w:i/>
          <w:iCs/>
          <w:highlight w:val="none"/>
          <w:lang w:val="en-US" w:eastAsia="zh-CN"/>
        </w:rPr>
        <w:t xml:space="preserve">Observation 1: </w:t>
      </w:r>
      <w:r>
        <w:rPr>
          <w:rFonts w:hint="eastAsia" w:eastAsiaTheme="minorEastAsia"/>
          <w:i/>
          <w:iCs/>
          <w:highlight w:val="none"/>
          <w:lang w:val="en-US" w:eastAsia="zh-CN"/>
        </w:rPr>
        <w:t xml:space="preserve">Alt 1(TDRA based solution) has better scheduling flexibility with either using Option 1 (a minimum number of PRBs and the corresponding MCS index could be larger than 3), or Option 2 (a larger number of PRBs to ensure the MCS index no larger than 3), while Alt 2 can only use Option 2. </w:t>
      </w:r>
    </w:p>
    <w:p>
      <w:pPr>
        <w:bidi w:val="0"/>
        <w:rPr>
          <w:rFonts w:hint="default" w:eastAsiaTheme="minorEastAsia"/>
          <w:i/>
          <w:iCs/>
          <w:highlight w:val="none"/>
          <w:lang w:val="en-US" w:eastAsia="zh-CN"/>
        </w:rPr>
      </w:pPr>
      <w:r>
        <w:rPr>
          <w:rFonts w:hint="eastAsia" w:eastAsiaTheme="minorEastAsia"/>
          <w:b/>
          <w:bCs/>
          <w:i/>
          <w:iCs/>
          <w:highlight w:val="none"/>
          <w:lang w:val="en-US" w:eastAsia="zh-CN"/>
        </w:rPr>
        <w:t>Observation 2:</w:t>
      </w:r>
      <w:r>
        <w:rPr>
          <w:rFonts w:hint="eastAsia" w:eastAsiaTheme="minorEastAsia"/>
          <w:i/>
          <w:iCs/>
          <w:highlight w:val="none"/>
          <w:lang w:val="en-US" w:eastAsia="zh-CN"/>
        </w:rPr>
        <w:t xml:space="preserve"> For Msg3 PUSCH repetition, Alt 1 (TDRA based solution) could provide better performance by enabling scheduling with Option 1 (a minimum number of PRBs and the corresponding MCS index could be larger than 3). </w:t>
      </w:r>
    </w:p>
    <w:p>
      <w:pPr>
        <w:keepNext w:val="0"/>
        <w:keepLines w:val="0"/>
        <w:pageBreakBefore w:val="0"/>
        <w:widowControl/>
        <w:numPr>
          <w:ilvl w:val="0"/>
          <w:numId w:val="0"/>
        </w:numPr>
        <w:tabs>
          <w:tab w:val="left" w:pos="420"/>
        </w:tabs>
        <w:kinsoku/>
        <w:wordWrap/>
        <w:overflowPunct w:val="0"/>
        <w:topLinePunct w:val="0"/>
        <w:autoSpaceDE w:val="0"/>
        <w:autoSpaceDN w:val="0"/>
        <w:bidi w:val="0"/>
        <w:adjustRightInd w:val="0"/>
        <w:snapToGrid w:val="0"/>
        <w:spacing w:before="137" w:beforeLines="50" w:afterLines="50"/>
        <w:textAlignment w:val="baseline"/>
        <w:rPr>
          <w:rFonts w:hint="default" w:ascii="Times New Roman" w:hAnsi="Times New Roman" w:cs="Times New Roman"/>
          <w:i/>
          <w:iCs/>
          <w:highlight w:val="none"/>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Alt 1( </w:t>
      </w:r>
      <w:r>
        <w:rPr>
          <w:rFonts w:hint="default" w:ascii="Times New Roman" w:hAnsi="Times New Roman" w:cs="Times New Roman"/>
          <w:i/>
          <w:iCs/>
          <w:highlight w:val="none"/>
          <w:lang w:eastAsia="zh-CN"/>
        </w:rPr>
        <w:t xml:space="preserve">TDRA </w:t>
      </w:r>
      <w:r>
        <w:rPr>
          <w:rFonts w:hint="eastAsia" w:cs="Times New Roman"/>
          <w:i/>
          <w:iCs/>
          <w:highlight w:val="none"/>
          <w:lang w:val="en-US" w:eastAsia="zh-CN"/>
        </w:rPr>
        <w:t>based solution) is adopted</w:t>
      </w:r>
      <w:r>
        <w:rPr>
          <w:rFonts w:hint="eastAsia" w:cs="Times New Roman"/>
          <w:i/>
          <w:iCs/>
          <w:highlight w:val="none"/>
          <w:shd w:val="clear" w:color="auto" w:fill="FFFFFF"/>
          <w:lang w:val="en-US" w:eastAsia="zh-CN"/>
        </w:rPr>
        <w:t xml:space="preserve"> for repetition indication of Msg3 repetition. </w:t>
      </w:r>
    </w:p>
    <w:p>
      <w:pPr>
        <w:numPr>
          <w:ilvl w:val="0"/>
          <w:numId w:val="0"/>
        </w:numPr>
        <w:rPr>
          <w:rFonts w:hint="eastAsia"/>
          <w:i/>
          <w:iCs/>
          <w:lang w:val="en-US" w:eastAsia="zh-CN"/>
        </w:rPr>
      </w:pPr>
      <w:r>
        <w:rPr>
          <w:rFonts w:hint="eastAsia"/>
          <w:b/>
          <w:bCs/>
          <w:i/>
          <w:iCs/>
          <w:highlight w:val="none"/>
          <w:lang w:val="en-US" w:eastAsia="zh-CN"/>
        </w:rPr>
        <w:t>Proposal 2:</w:t>
      </w:r>
      <w:r>
        <w:rPr>
          <w:rFonts w:hint="eastAsia"/>
          <w:b w:val="0"/>
          <w:bCs w:val="0"/>
          <w:i/>
          <w:iCs/>
          <w:sz w:val="20"/>
          <w:szCs w:val="20"/>
          <w:highlight w:val="none"/>
          <w:u w:val="none"/>
          <w:lang w:val="en-US" w:eastAsia="zh-CN"/>
        </w:rPr>
        <w:t xml:space="preserve"> </w:t>
      </w:r>
      <w:r>
        <w:rPr>
          <w:i/>
          <w:iCs/>
        </w:rPr>
        <w:t>For repetition indication of Msg3 re-transmission,</w:t>
      </w:r>
      <w:r>
        <w:rPr>
          <w:rFonts w:hint="eastAsia"/>
          <w:i/>
          <w:iCs/>
          <w:lang w:val="en-US" w:eastAsia="zh-CN"/>
        </w:rPr>
        <w:t xml:space="preserve"> support </w:t>
      </w:r>
      <w:r>
        <w:rPr>
          <w:i/>
          <w:iCs/>
        </w:rPr>
        <w:t>the same mechanism as supported for Msg3 initial transmission.</w:t>
      </w:r>
      <w:r>
        <w:rPr>
          <w:rFonts w:hint="eastAsia"/>
          <w:i/>
          <w:iCs/>
          <w:lang w:val="en-US" w:eastAsia="zh-CN"/>
        </w:rPr>
        <w:t xml:space="preserve"> </w:t>
      </w:r>
    </w:p>
    <w:p>
      <w:pPr>
        <w:bidi w:val="0"/>
        <w:rPr>
          <w:rFonts w:hint="eastAsia"/>
          <w:i/>
          <w:iCs/>
          <w:lang w:val="en-US" w:eastAsia="zh-CN"/>
        </w:rPr>
      </w:pPr>
      <w:r>
        <w:rPr>
          <w:rFonts w:hint="eastAsia"/>
          <w:b/>
          <w:bCs/>
          <w:i/>
          <w:iCs/>
          <w:lang w:val="en-US" w:eastAsia="zh-CN"/>
        </w:rPr>
        <w:t>Proposal 3:</w:t>
      </w:r>
      <w:r>
        <w:rPr>
          <w:rFonts w:hint="eastAsia"/>
          <w:i/>
          <w:iCs/>
          <w:lang w:val="en-US" w:eastAsia="zh-CN"/>
        </w:rPr>
        <w:t xml:space="preserve"> Regarding </w:t>
      </w:r>
      <w:r>
        <w:rPr>
          <w:i/>
          <w:iCs/>
        </w:rPr>
        <w:t>how a UE should interpret the selected information field for indication of the number of repetitions</w:t>
      </w:r>
      <w:r>
        <w:rPr>
          <w:rFonts w:hint="eastAsia"/>
          <w:i/>
          <w:iCs/>
          <w:lang w:val="en-US" w:eastAsia="zh-CN"/>
        </w:rPr>
        <w:t>, no additional signaling is needed, i.e., Option 1 is supported.</w:t>
      </w:r>
    </w:p>
    <w:p>
      <w:pPr>
        <w:rPr>
          <w:rFonts w:hint="default" w:ascii="Times New Roman" w:hAnsi="Times New Roman" w:eastAsia="Times New Roman" w:cs="Times New Roman"/>
          <w:i/>
          <w:iCs/>
          <w:color w:val="auto"/>
          <w:sz w:val="20"/>
          <w:szCs w:val="20"/>
          <w:lang w:val="en-US"/>
        </w:rPr>
      </w:pPr>
      <w:r>
        <w:rPr>
          <w:rFonts w:hint="eastAsia" w:eastAsia="宋体"/>
          <w:b/>
          <w:bCs/>
          <w:i/>
          <w:iCs/>
          <w:lang w:val="en-US" w:eastAsia="zh-CN"/>
        </w:rPr>
        <w:t xml:space="preserve">Proposal </w:t>
      </w:r>
      <w:r>
        <w:rPr>
          <w:rFonts w:hint="eastAsia"/>
          <w:b/>
          <w:bCs/>
          <w:i/>
          <w:iCs/>
          <w:lang w:val="en-US" w:eastAsia="zh-CN"/>
        </w:rPr>
        <w:t>4</w:t>
      </w:r>
      <w:r>
        <w:rPr>
          <w:rFonts w:hint="eastAsia" w:eastAsia="宋体"/>
          <w:b/>
          <w:bCs/>
          <w:i/>
          <w:iCs/>
          <w:lang w:val="en-US" w:eastAsia="zh-CN"/>
        </w:rPr>
        <w:t xml:space="preserve">: </w:t>
      </w:r>
      <w:r>
        <w:rPr>
          <w:rFonts w:hint="eastAsia"/>
          <w:i/>
          <w:iCs/>
          <w:lang w:val="en-US" w:eastAsia="zh-CN"/>
        </w:rPr>
        <w:t xml:space="preserve">Do not support additional options (i.e., using separate RO) for requesting Msg3 repetition, unless RAN2 concludes to support with taking other features into account. </w:t>
      </w:r>
    </w:p>
    <w:p>
      <w:pPr>
        <w:numPr>
          <w:ilvl w:val="0"/>
          <w:numId w:val="0"/>
        </w:numPr>
        <w:rPr>
          <w:rFonts w:hint="eastAsia" w:eastAsia="宋体"/>
          <w:b/>
          <w:bCs/>
          <w:i/>
          <w:iCs/>
          <w:lang w:val="en-US" w:eastAsia="zh-CN"/>
        </w:rPr>
      </w:pPr>
      <w:r>
        <w:rPr>
          <w:rFonts w:hint="eastAsia" w:eastAsia="宋体"/>
          <w:b/>
          <w:bCs/>
          <w:i/>
          <w:iCs/>
          <w:lang w:val="en-US" w:eastAsia="zh-CN"/>
        </w:rPr>
        <w:t xml:space="preserve">Proposal </w:t>
      </w:r>
      <w:r>
        <w:rPr>
          <w:rFonts w:hint="eastAsia"/>
          <w:b/>
          <w:bCs/>
          <w:i/>
          <w:iCs/>
          <w:lang w:val="en-US" w:eastAsia="zh-CN"/>
        </w:rPr>
        <w:t>5</w:t>
      </w:r>
      <w:r>
        <w:rPr>
          <w:rFonts w:hint="eastAsia" w:eastAsia="宋体"/>
          <w:b/>
          <w:bCs/>
          <w:i/>
          <w:iCs/>
          <w:lang w:val="en-US" w:eastAsia="zh-CN"/>
        </w:rPr>
        <w:t xml:space="preserve">: </w:t>
      </w:r>
      <w:r>
        <w:rPr>
          <w:rFonts w:hint="eastAsia"/>
          <w:i/>
          <w:iCs/>
          <w:sz w:val="20"/>
          <w:szCs w:val="20"/>
          <w:shd w:val="clear" w:color="auto" w:fill="FFFFFF"/>
          <w:lang w:val="en-US" w:eastAsia="zh-CN"/>
        </w:rPr>
        <w:t xml:space="preserve">Legacy cancellation case due to </w:t>
      </w:r>
      <w:r>
        <w:rPr>
          <w:rFonts w:hint="eastAsia"/>
          <w:i/>
          <w:iCs/>
          <w:u w:val="none"/>
          <w:lang w:val="en-US" w:eastAsia="zh-CN"/>
        </w:rPr>
        <w:t xml:space="preserve">collision with </w:t>
      </w:r>
      <w:r>
        <w:rPr>
          <w:rFonts w:hint="eastAsia" w:eastAsia="宋体"/>
          <w:i/>
          <w:iCs/>
          <w:color w:val="auto"/>
          <w:u w:val="none"/>
          <w:lang w:val="en-US" w:eastAsia="zh-CN"/>
        </w:rPr>
        <w:t>d</w:t>
      </w:r>
      <w:r>
        <w:rPr>
          <w:rFonts w:hint="eastAsia"/>
          <w:i/>
          <w:iCs/>
          <w:u w:val="none"/>
          <w:lang w:val="en-US" w:eastAsia="zh-CN"/>
        </w:rPr>
        <w:t xml:space="preserve">ownlink symbols indicated by tdd-UL-DL-ConfigurationDedicated is reused, and </w:t>
      </w:r>
      <w:r>
        <w:rPr>
          <w:rFonts w:hint="eastAsia"/>
          <w:i/>
          <w:iCs/>
          <w:sz w:val="20"/>
          <w:szCs w:val="20"/>
          <w:shd w:val="clear" w:color="auto" w:fill="FFFFFF"/>
          <w:lang w:val="en-US" w:eastAsia="zh-CN"/>
        </w:rPr>
        <w:t>n</w:t>
      </w:r>
      <w:r>
        <w:rPr>
          <w:rFonts w:eastAsia="宋体"/>
          <w:i/>
          <w:iCs/>
          <w:sz w:val="20"/>
          <w:szCs w:val="20"/>
          <w:shd w:val="clear" w:color="auto" w:fill="FFFFFF"/>
        </w:rPr>
        <w:t>o additional indication</w:t>
      </w:r>
      <w:r>
        <w:rPr>
          <w:rFonts w:hint="eastAsia"/>
          <w:i/>
          <w:iCs/>
          <w:sz w:val="20"/>
          <w:szCs w:val="20"/>
          <w:shd w:val="clear" w:color="auto" w:fill="FFFFFF"/>
          <w:lang w:val="en-US" w:eastAsia="zh-CN"/>
        </w:rPr>
        <w:t xml:space="preserve"> is to be introduced. </w:t>
      </w:r>
    </w:p>
    <w:p>
      <w:pPr>
        <w:rPr>
          <w:rFonts w:eastAsia="Yu Mincho"/>
          <w:bCs/>
          <w:i/>
          <w:iCs/>
          <w:szCs w:val="20"/>
          <w:lang w:eastAsia="ja-JP"/>
        </w:rPr>
      </w:pPr>
      <w:r>
        <w:rPr>
          <w:rFonts w:hint="eastAsia"/>
          <w:b/>
          <w:bCs/>
          <w:i/>
          <w:iCs/>
          <w:highlight w:val="none"/>
          <w:lang w:val="en-US" w:eastAsia="zh-CN"/>
        </w:rPr>
        <w:t xml:space="preserve">Proposal 6: </w:t>
      </w:r>
      <w:r>
        <w:rPr>
          <w:rFonts w:eastAsia="Yu Mincho"/>
          <w:bCs/>
          <w:i/>
          <w:iCs/>
          <w:szCs w:val="20"/>
          <w:lang w:eastAsia="ja-JP"/>
        </w:rPr>
        <w:t xml:space="preserve">Each available slot identified by the UE is considered as a transmission occasion for </w:t>
      </w:r>
      <w:r>
        <w:rPr>
          <w:rFonts w:hint="eastAsia" w:eastAsia="宋体"/>
          <w:bCs/>
          <w:i/>
          <w:iCs/>
          <w:szCs w:val="20"/>
          <w:lang w:val="en-US" w:eastAsia="zh-CN"/>
        </w:rPr>
        <w:t xml:space="preserve">Msg3 </w:t>
      </w:r>
      <w:r>
        <w:rPr>
          <w:rFonts w:eastAsia="Yu Mincho"/>
          <w:bCs/>
          <w:i/>
          <w:iCs/>
          <w:szCs w:val="20"/>
          <w:lang w:eastAsia="ja-JP"/>
        </w:rPr>
        <w:t>PUSCH repetition.</w:t>
      </w:r>
    </w:p>
    <w:p>
      <w:pPr>
        <w:pStyle w:val="114"/>
        <w:numPr>
          <w:ilvl w:val="0"/>
          <w:numId w:val="19"/>
        </w:numPr>
        <w:overflowPunct w:val="0"/>
        <w:autoSpaceDE w:val="0"/>
        <w:autoSpaceDN w:val="0"/>
        <w:adjustRightInd w:val="0"/>
        <w:spacing w:after="180" w:line="256" w:lineRule="auto"/>
        <w:ind w:left="720" w:leftChars="0" w:hanging="360" w:firstLineChars="0"/>
        <w:jc w:val="both"/>
        <w:rPr>
          <w:rFonts w:hint="eastAsia"/>
          <w:i/>
          <w:iCs/>
          <w:color w:val="auto"/>
          <w:lang w:val="en-US" w:eastAsia="zh-CN"/>
        </w:rPr>
      </w:pPr>
      <w:r>
        <w:rPr>
          <w:rFonts w:eastAsia="Yu Mincho"/>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Yu Mincho"/>
          <w:bCs/>
          <w:i/>
          <w:iCs/>
          <w:szCs w:val="20"/>
          <w:lang w:eastAsia="ja-JP"/>
        </w:rPr>
        <w:t>PUSCH transmission in the transmission occasion is further omitted or not.</w:t>
      </w:r>
    </w:p>
    <w:p>
      <w:pPr>
        <w:rPr>
          <w:rFonts w:hint="eastAsia" w:eastAsia="宋体"/>
          <w:highlight w:val="none"/>
          <w:lang w:val="en-US" w:eastAsia="zh-CN"/>
        </w:rPr>
      </w:pPr>
      <w:r>
        <w:rPr>
          <w:rFonts w:hint="eastAsia" w:eastAsia="宋体"/>
          <w:b/>
          <w:bCs/>
          <w:i/>
          <w:iCs/>
          <w:lang w:val="en-US" w:eastAsia="zh-CN"/>
        </w:rPr>
        <w:t xml:space="preserve">Proposal </w:t>
      </w:r>
      <w:r>
        <w:rPr>
          <w:rFonts w:hint="eastAsia"/>
          <w:b/>
          <w:bCs/>
          <w:i/>
          <w:iCs/>
          <w:lang w:val="en-US" w:eastAsia="zh-CN"/>
        </w:rPr>
        <w:t>7</w:t>
      </w:r>
      <w:r>
        <w:rPr>
          <w:rFonts w:hint="eastAsia" w:eastAsia="宋体"/>
          <w:b/>
          <w:bCs/>
          <w:i/>
          <w:iCs/>
          <w:lang w:val="en-US" w:eastAsia="zh-CN"/>
        </w:rPr>
        <w:t xml:space="preserve">: </w:t>
      </w:r>
      <w:r>
        <w:rPr>
          <w:rFonts w:hint="eastAsia" w:eastAsia="宋体"/>
          <w:i/>
          <w:iCs/>
          <w:lang w:val="en-US" w:eastAsia="zh-CN"/>
        </w:rPr>
        <w:t xml:space="preserve">PUSCH repetition is supported for </w:t>
      </w:r>
      <w:r>
        <w:rPr>
          <w:rFonts w:hint="eastAsia" w:eastAsiaTheme="minorEastAsia"/>
          <w:i/>
          <w:iCs/>
          <w:lang w:val="en-US" w:eastAsia="zh-CN"/>
        </w:rPr>
        <w:t xml:space="preserve">a PUSCH scheduled by RAR UL grant including </w:t>
      </w:r>
      <w:r>
        <w:rPr>
          <w:rFonts w:hint="eastAsia" w:eastAsia="宋体"/>
          <w:i/>
          <w:iCs/>
          <w:lang w:val="en-US" w:eastAsia="zh-CN"/>
        </w:rPr>
        <w:t xml:space="preserve">CFRA PUSCH, while no </w:t>
      </w:r>
      <w:r>
        <w:rPr>
          <w:rFonts w:eastAsia="等线"/>
          <w:i/>
          <w:iCs/>
          <w:kern w:val="2"/>
          <w:szCs w:val="21"/>
          <w:lang w:val="en-US" w:eastAsia="zh-CN"/>
        </w:rPr>
        <w:t xml:space="preserve">optimization specific for CFRA </w:t>
      </w:r>
      <w:r>
        <w:rPr>
          <w:rFonts w:hint="eastAsia" w:eastAsia="等线"/>
          <w:i/>
          <w:iCs/>
          <w:kern w:val="2"/>
          <w:szCs w:val="21"/>
          <w:lang w:val="en-US" w:eastAsia="zh-CN"/>
        </w:rPr>
        <w:t xml:space="preserve">PUSCH is considered. </w:t>
      </w:r>
    </w:p>
    <w:p>
      <w:pPr>
        <w:pStyle w:val="2"/>
        <w:numPr>
          <w:ilvl w:val="0"/>
          <w:numId w:val="0"/>
        </w:numPr>
        <w:ind w:leftChars="0"/>
        <w:rPr>
          <w:highlight w:val="none"/>
          <w:lang w:eastAsia="zh-CN"/>
        </w:rPr>
      </w:pPr>
      <w:r>
        <w:rPr>
          <w:rFonts w:hint="eastAsia"/>
          <w:highlight w:val="none"/>
          <w:lang w:eastAsia="zh-CN"/>
        </w:rPr>
        <w:t>R</w:t>
      </w:r>
      <w:r>
        <w:rPr>
          <w:highlight w:val="none"/>
          <w:lang w:eastAsia="zh-CN"/>
        </w:rPr>
        <w:t>eference</w:t>
      </w:r>
    </w:p>
    <w:p>
      <w:pPr>
        <w:pStyle w:val="126"/>
        <w:rPr>
          <w:rFonts w:hint="default" w:ascii="Times New Roman" w:hAnsi="Times New Roman" w:cs="Times New Roman"/>
          <w:sz w:val="20"/>
          <w:szCs w:val="15"/>
          <w:highlight w:val="none"/>
          <w:lang w:val="en-US" w:eastAsia="zh-CN"/>
        </w:rPr>
      </w:pPr>
      <w:bookmarkStart w:id="3" w:name="_Ref525119031"/>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106</w:t>
      </w:r>
      <w:r>
        <w:rPr>
          <w:rFonts w:hint="eastAsia" w:cs="Times New Roman"/>
          <w:sz w:val="20"/>
          <w:szCs w:val="15"/>
          <w:highlight w:val="none"/>
          <w:lang w:val="en-US" w:eastAsia="zh-CN"/>
        </w:rPr>
        <w:t>bis</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bookmarkEnd w:id="3"/>
      <w:r>
        <w:rPr>
          <w:rFonts w:hint="eastAsia"/>
          <w:lang w:val="en-US" w:eastAsia="zh-CN"/>
        </w:rPr>
        <w:t>R1-2110419</w:t>
      </w:r>
      <w:r>
        <w:rPr>
          <w:rFonts w:hint="eastAsia" w:ascii="Times New Roman" w:hAnsi="Times New Roman" w:cs="Times New Roman"/>
          <w:sz w:val="20"/>
          <w:szCs w:val="15"/>
          <w:highlight w:val="none"/>
          <w:lang w:val="en-US" w:eastAsia="zh-CN"/>
        </w:rPr>
        <w:t xml:space="preserve"> Feature lead summary #</w:t>
      </w:r>
      <w:r>
        <w:rPr>
          <w:rFonts w:hint="eastAsia" w:cs="Times New Roman"/>
          <w:sz w:val="20"/>
          <w:szCs w:val="15"/>
          <w:highlight w:val="none"/>
          <w:lang w:val="en-US" w:eastAsia="zh-CN"/>
        </w:rPr>
        <w:t>3</w:t>
      </w:r>
      <w:r>
        <w:rPr>
          <w:rFonts w:hint="eastAsia" w:ascii="Times New Roman" w:hAnsi="Times New Roman" w:cs="Times New Roman"/>
          <w:sz w:val="20"/>
          <w:szCs w:val="15"/>
          <w:highlight w:val="none"/>
          <w:lang w:val="en-US" w:eastAsia="zh-CN"/>
        </w:rPr>
        <w:t xml:space="preserve"> on support of Type A PUSCH repetitions for Msg3, Moderator (</w:t>
      </w:r>
      <w:r>
        <w:rPr>
          <w:rFonts w:hint="default" w:ascii="Times New Roman" w:hAnsi="Times New Roman" w:cs="Times New Roman"/>
          <w:sz w:val="20"/>
          <w:szCs w:val="15"/>
          <w:highlight w:val="none"/>
          <w:lang w:val="en-US" w:eastAsia="zh-CN"/>
        </w:rPr>
        <w:t>ZTE Corporation</w:t>
      </w:r>
      <w:r>
        <w:rPr>
          <w:rFonts w:hint="eastAsia" w:ascii="Times New Roman" w:hAnsi="Times New Roman" w:cs="Times New Roman"/>
          <w:sz w:val="20"/>
          <w:szCs w:val="15"/>
          <w:highlight w:val="none"/>
          <w:lang w:val="en-US" w:eastAsia="zh-CN"/>
        </w:rPr>
        <w:t xml:space="preserve">). </w:t>
      </w:r>
    </w:p>
    <w:p>
      <w:pPr>
        <w:pStyle w:val="126"/>
        <w:rPr>
          <w:rFonts w:hint="default"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val="en-US"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106-</w:t>
      </w:r>
      <w:r>
        <w:rPr>
          <w:rFonts w:hint="default" w:ascii="Times New Roman" w:hAnsi="Times New Roman" w:cs="Times New Roman"/>
          <w:sz w:val="20"/>
          <w:szCs w:val="15"/>
          <w:highlight w:val="none"/>
          <w:lang w:val="en-US" w:eastAsia="zh-CN"/>
        </w:rPr>
        <w:t>e, R1-210858</w:t>
      </w:r>
      <w:r>
        <w:rPr>
          <w:rFonts w:hint="eastAsia" w:ascii="Times New Roman" w:hAnsi="Times New Roman" w:cs="Times New Roman"/>
          <w:sz w:val="20"/>
          <w:szCs w:val="15"/>
          <w:highlight w:val="none"/>
          <w:lang w:val="en-US" w:eastAsia="zh-CN"/>
        </w:rPr>
        <w:t>5 Feature lead summary #4 on support of Type A PUSCH repetitions for Msg3, Moderator (</w:t>
      </w:r>
      <w:r>
        <w:rPr>
          <w:rFonts w:hint="default" w:ascii="Times New Roman" w:hAnsi="Times New Roman" w:cs="Times New Roman"/>
          <w:sz w:val="20"/>
          <w:szCs w:val="15"/>
          <w:highlight w:val="none"/>
          <w:lang w:val="en-US" w:eastAsia="zh-CN"/>
        </w:rPr>
        <w:t>ZTE Corporation</w:t>
      </w:r>
      <w:r>
        <w:rPr>
          <w:rFonts w:hint="eastAsia" w:ascii="Times New Roman" w:hAnsi="Times New Roman" w:cs="Times New Roman"/>
          <w:sz w:val="20"/>
          <w:szCs w:val="15"/>
          <w:highlight w:val="none"/>
          <w:lang w:val="en-US" w:eastAsia="zh-CN"/>
        </w:rPr>
        <w:t xml:space="preserve">). </w:t>
      </w:r>
    </w:p>
    <w:p>
      <w:pPr>
        <w:pStyle w:val="2"/>
        <w:numPr>
          <w:ilvl w:val="0"/>
          <w:numId w:val="0"/>
        </w:numPr>
        <w:ind w:leftChars="0"/>
        <w:rPr>
          <w:rFonts w:hint="default"/>
          <w:highlight w:val="none"/>
          <w:lang w:val="en-US" w:eastAsia="zh-CN"/>
        </w:rPr>
      </w:pPr>
      <w:r>
        <w:rPr>
          <w:highlight w:val="none"/>
          <w:lang w:val="en-US" w:eastAsia="zh-CN"/>
        </w:rPr>
        <w:t xml:space="preserve">Appendix - </w:t>
      </w:r>
      <w:r>
        <w:rPr>
          <w:rFonts w:hint="eastAsia"/>
          <w:highlight w:val="none"/>
          <w:lang w:val="en-US" w:eastAsia="zh-CN"/>
        </w:rPr>
        <w:t>A</w:t>
      </w:r>
      <w:r>
        <w:rPr>
          <w:highlight w:val="none"/>
          <w:lang w:val="en-US" w:eastAsia="zh-CN"/>
        </w:rPr>
        <w:t>:</w:t>
      </w:r>
      <w:r>
        <w:rPr>
          <w:rFonts w:hint="eastAsia"/>
          <w:highlight w:val="none"/>
          <w:lang w:val="en-US" w:eastAsia="zh-CN"/>
        </w:rPr>
        <w:t xml:space="preserve"> Evaluation assumptions and results</w:t>
      </w:r>
    </w:p>
    <w:p>
      <w:pPr>
        <w:jc w:val="center"/>
        <w:rPr>
          <w:rFonts w:hint="default"/>
          <w:lang w:val="en-US"/>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val="en-US" w:eastAsia="zh-CN"/>
          <w14:textFill>
            <w14:solidFill>
              <w14:schemeClr w14:val="tx1"/>
            </w14:solidFill>
          </w14:textFill>
        </w:rPr>
        <w:t xml:space="preserve">A-1 </w:t>
      </w:r>
      <w:r>
        <w:t xml:space="preserve">Simulation assumption for </w:t>
      </w:r>
      <w:r>
        <w:rPr>
          <w:rFonts w:hint="eastAsia"/>
          <w:lang w:val="en-US" w:eastAsia="zh-CN"/>
        </w:rPr>
        <w:t>Msg3 PUSCH repetition</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38"/>
        <w:gridCol w:w="2592"/>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Parameters</w:t>
            </w:r>
          </w:p>
        </w:tc>
        <w:tc>
          <w:tcPr>
            <w:tcW w:w="0" w:type="auto"/>
            <w:gridSpan w:val="2"/>
            <w:shd w:val="clear" w:color="auto" w:fill="auto"/>
            <w:vAlign w:val="center"/>
          </w:tcPr>
          <w:p>
            <w:pPr>
              <w:keepNext w:val="0"/>
              <w:keepLines w:val="0"/>
              <w:pageBreakBefore w:val="0"/>
              <w:widowControl/>
              <w:kinsoku/>
              <w:wordWrap/>
              <w:topLinePunct w:val="0"/>
              <w:bidi w:val="0"/>
              <w:snapToGrid w:val="0"/>
              <w:jc w:val="center"/>
              <w:outlineLvl w:val="9"/>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Scenario</w:t>
            </w:r>
          </w:p>
        </w:tc>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Urban</w:t>
            </w:r>
          </w:p>
        </w:tc>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top"/>
          </w:tcPr>
          <w:p>
            <w:pPr>
              <w:pStyle w:val="46"/>
              <w:keepNext w:val="0"/>
              <w:keepLines w:val="0"/>
              <w:widowControl/>
              <w:suppressLineNumbers w:val="0"/>
              <w:rPr>
                <w:rFonts w:hint="default" w:ascii="Times New Roman" w:hAnsi="Times New Roman" w:eastAsia="宋体" w:cs="Times New Roman"/>
                <w:sz w:val="24"/>
                <w:szCs w:val="24"/>
                <w:highlight w:val="none"/>
                <w:lang w:val="en-US" w:eastAsia="zh-CN" w:bidi="ar-SA"/>
              </w:rPr>
            </w:pPr>
            <w:r>
              <w:rPr>
                <w:rFonts w:hint="default" w:ascii="Times New Roman" w:hAnsi="Times New Roman" w:cs="Times New Roman"/>
                <w:color w:val="000000"/>
                <w:sz w:val="20"/>
                <w:szCs w:val="20"/>
                <w:highlight w:val="none"/>
              </w:rPr>
              <w:t>System bandwidth</w:t>
            </w:r>
          </w:p>
        </w:tc>
        <w:tc>
          <w:tcPr>
            <w:tcW w:w="0" w:type="auto"/>
            <w:gridSpan w:val="2"/>
            <w:shd w:val="clear" w:color="auto" w:fill="auto"/>
            <w:vAlign w:val="top"/>
          </w:tcPr>
          <w:p>
            <w:pPr>
              <w:pStyle w:val="46"/>
              <w:keepNext w:val="0"/>
              <w:keepLines w:val="0"/>
              <w:widowControl/>
              <w:suppressLineNumbers w:val="0"/>
              <w:rPr>
                <w:rFonts w:hint="default" w:ascii="Times New Roman" w:hAnsi="Times New Roman" w:eastAsia="宋体" w:cs="Times New Roman"/>
                <w:sz w:val="24"/>
                <w:szCs w:val="24"/>
                <w:highlight w:val="none"/>
                <w:lang w:val="en-US" w:eastAsia="zh-CN" w:bidi="ar-SA"/>
              </w:rPr>
            </w:pPr>
            <w:r>
              <w:rPr>
                <w:rFonts w:hint="eastAsia" w:cs="Times New Roman"/>
                <w:color w:val="000000"/>
                <w:sz w:val="20"/>
                <w:szCs w:val="20"/>
                <w:highlight w:val="none"/>
                <w:lang w:val="en-US" w:eastAsia="zh-CN"/>
              </w:rPr>
              <w:t>100</w:t>
            </w:r>
            <w:r>
              <w:rPr>
                <w:rFonts w:hint="default" w:ascii="Times New Roman" w:hAnsi="Times New Roman" w:cs="Times New Roman"/>
                <w:color w:val="000000"/>
                <w:sz w:val="20"/>
                <w:szCs w:val="20"/>
                <w:highlight w:val="none"/>
              </w:rPr>
              <w:t>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Duplexing scheme and frequency</w:t>
            </w:r>
          </w:p>
        </w:tc>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4GHz TDD </w:t>
            </w:r>
          </w:p>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val="en-US" w:eastAsia="zh-CN"/>
              </w:rPr>
            </w:pPr>
            <w:r>
              <w:rPr>
                <w:rFonts w:hint="eastAsia" w:cs="Times New Roman"/>
                <w:sz w:val="20"/>
                <w:szCs w:val="20"/>
                <w:lang w:val="en-US" w:eastAsia="zh-CN"/>
              </w:rPr>
              <w:t>TDD pattern: DDDSU</w:t>
            </w:r>
          </w:p>
        </w:tc>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eastAsia" w:ascii="Times New Roman" w:hAnsi="Times New Roman" w:cs="Times New Roman"/>
                <w:sz w:val="20"/>
                <w:szCs w:val="20"/>
                <w:lang w:val="en-US" w:eastAsia="zh-CN"/>
              </w:rPr>
              <w:t>700MHz</w:t>
            </w:r>
            <w:r>
              <w:rPr>
                <w:rFonts w:hint="default" w:ascii="Times New Roman" w:hAnsi="Times New Roman" w:cs="Times New Roman"/>
                <w:sz w:val="20"/>
                <w:szCs w:val="20"/>
                <w:lang w:eastAsia="zh-CN"/>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Subcarrier spacing</w:t>
            </w:r>
          </w:p>
        </w:tc>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30kHz</w:t>
            </w:r>
            <w:r>
              <w:rPr>
                <w:rFonts w:hint="eastAsia" w:cs="Times New Roman"/>
                <w:sz w:val="20"/>
                <w:szCs w:val="20"/>
                <w:lang w:val="en-US" w:eastAsia="zh-CN"/>
              </w:rPr>
              <w:t xml:space="preserve"> </w:t>
            </w:r>
            <w:r>
              <w:rPr>
                <w:rFonts w:hint="default" w:ascii="Times New Roman" w:hAnsi="Times New Roman" w:cs="Times New Roman"/>
                <w:sz w:val="20"/>
                <w:szCs w:val="20"/>
                <w:lang w:eastAsia="zh-CN"/>
              </w:rPr>
              <w:t>for TDD</w:t>
            </w:r>
          </w:p>
        </w:tc>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15kHz for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Channel model for link-level simulation</w:t>
            </w:r>
          </w:p>
        </w:tc>
        <w:tc>
          <w:tcPr>
            <w:tcW w:w="0" w:type="auto"/>
            <w:gridSpan w:val="2"/>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TDL-C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Pathloss model (select from LoS or NLoS)</w:t>
            </w:r>
          </w:p>
        </w:tc>
        <w:tc>
          <w:tcPr>
            <w:tcW w:w="0" w:type="auto"/>
            <w:gridSpan w:val="2"/>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Delay Spread</w:t>
            </w:r>
          </w:p>
        </w:tc>
        <w:tc>
          <w:tcPr>
            <w:tcW w:w="0" w:type="auto"/>
            <w:gridSpan w:val="2"/>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UE velocity</w:t>
            </w:r>
          </w:p>
        </w:tc>
        <w:tc>
          <w:tcPr>
            <w:tcW w:w="0" w:type="auto"/>
            <w:gridSpan w:val="2"/>
            <w:shd w:val="clear" w:color="auto" w:fill="auto"/>
            <w:vAlign w:val="center"/>
          </w:tcPr>
          <w:p>
            <w:pPr>
              <w:keepNext w:val="0"/>
              <w:keepLines w:val="0"/>
              <w:pageBreakBefore w:val="0"/>
              <w:widowControl/>
              <w:kinsoku/>
              <w:wordWrap/>
              <w:topLinePunct w:val="0"/>
              <w:bidi w:val="0"/>
              <w:snapToGrid w:val="0"/>
              <w:outlineLvl w:val="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3 km/h for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46"/>
              <w:keepNext w:val="0"/>
              <w:keepLines w:val="0"/>
              <w:pageBreakBefore w:val="0"/>
              <w:widowControl/>
              <w:kinsoku/>
              <w:wordWrap/>
              <w:topLinePunct w:val="0"/>
              <w:bidi w:val="0"/>
              <w:snapToGrid w:val="0"/>
              <w:spacing w:before="0" w:beforeAutospacing="0" w:after="0" w:afterAutospacing="0"/>
              <w:outlineLvl w:val="9"/>
              <w:rPr>
                <w:rFonts w:hint="default" w:ascii="Times New Roman" w:hAnsi="Times New Roman" w:cs="Times New Roman"/>
                <w:sz w:val="20"/>
                <w:szCs w:val="20"/>
              </w:rPr>
            </w:pPr>
            <w:r>
              <w:rPr>
                <w:rFonts w:hint="eastAsia" w:cs="Times New Roman"/>
                <w:sz w:val="20"/>
                <w:szCs w:val="20"/>
                <w:lang w:val="en-US" w:eastAsia="zh-CN"/>
              </w:rPr>
              <w:t>Number of repetition</w:t>
            </w:r>
          </w:p>
        </w:tc>
        <w:tc>
          <w:tcPr>
            <w:tcW w:w="0" w:type="auto"/>
            <w:shd w:val="clear" w:color="auto" w:fill="auto"/>
            <w:vAlign w:val="center"/>
          </w:tcPr>
          <w:p>
            <w:pPr>
              <w:pStyle w:val="46"/>
              <w:keepNext w:val="0"/>
              <w:keepLines w:val="0"/>
              <w:pageBreakBefore w:val="0"/>
              <w:widowControl/>
              <w:kinsoku/>
              <w:wordWrap/>
              <w:topLinePunct w:val="0"/>
              <w:bidi w:val="0"/>
              <w:snapToGrid w:val="0"/>
              <w:spacing w:before="0" w:beforeAutospacing="0" w:after="0" w:afterAutospacing="0"/>
              <w:outlineLvl w:val="9"/>
              <w:rPr>
                <w:rFonts w:hint="default" w:ascii="Times New Roman" w:hAnsi="Times New Roman" w:eastAsia="宋体" w:cs="Times New Roman"/>
                <w:color w:val="auto"/>
                <w:sz w:val="20"/>
                <w:szCs w:val="20"/>
                <w:lang w:val="en-US" w:eastAsia="zh-CN"/>
              </w:rPr>
            </w:pPr>
            <w:r>
              <w:rPr>
                <w:rFonts w:hint="eastAsia" w:ascii="Times New Roman" w:hAnsi="Times New Roman" w:cs="Times New Roman"/>
                <w:color w:val="auto"/>
                <w:sz w:val="20"/>
                <w:szCs w:val="20"/>
                <w:lang w:val="en-US" w:eastAsia="zh-CN"/>
              </w:rPr>
              <w:t>4</w:t>
            </w:r>
          </w:p>
        </w:tc>
        <w:tc>
          <w:tcPr>
            <w:tcW w:w="0" w:type="auto"/>
            <w:shd w:val="clear" w:color="auto" w:fill="auto"/>
            <w:vAlign w:val="center"/>
          </w:tcPr>
          <w:p>
            <w:pPr>
              <w:pStyle w:val="46"/>
              <w:keepNext w:val="0"/>
              <w:keepLines w:val="0"/>
              <w:pageBreakBefore w:val="0"/>
              <w:widowControl/>
              <w:kinsoku/>
              <w:wordWrap/>
              <w:topLinePunct w:val="0"/>
              <w:bidi w:val="0"/>
              <w:snapToGrid w:val="0"/>
              <w:spacing w:before="0" w:beforeAutospacing="0" w:after="0" w:afterAutospacing="0"/>
              <w:outlineLvl w:val="9"/>
              <w:rPr>
                <w:rFonts w:hint="eastAsia"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46"/>
              <w:keepNext w:val="0"/>
              <w:keepLines w:val="0"/>
              <w:pageBreakBefore w:val="0"/>
              <w:widowControl/>
              <w:kinsoku/>
              <w:wordWrap/>
              <w:topLinePunct w:val="0"/>
              <w:bidi w:val="0"/>
              <w:snapToGrid w:val="0"/>
              <w:spacing w:before="0" w:beforeAutospacing="0" w:after="0" w:afterAutospacing="0"/>
              <w:outlineLvl w:val="9"/>
              <w:rPr>
                <w:rFonts w:hint="default" w:cs="Times New Roman"/>
                <w:sz w:val="20"/>
                <w:szCs w:val="20"/>
                <w:lang w:val="en-US" w:eastAsia="zh-CN"/>
              </w:rPr>
            </w:pPr>
            <w:r>
              <w:rPr>
                <w:rFonts w:hint="eastAsia" w:cs="Times New Roman"/>
                <w:sz w:val="20"/>
                <w:szCs w:val="20"/>
                <w:lang w:val="en-US" w:eastAsia="zh-CN"/>
              </w:rPr>
              <w:t>RV sequence</w:t>
            </w:r>
          </w:p>
        </w:tc>
        <w:tc>
          <w:tcPr>
            <w:tcW w:w="0" w:type="auto"/>
            <w:gridSpan w:val="2"/>
            <w:shd w:val="clear" w:color="auto" w:fill="auto"/>
            <w:vAlign w:val="center"/>
          </w:tcPr>
          <w:p>
            <w:pPr>
              <w:pStyle w:val="46"/>
              <w:keepNext w:val="0"/>
              <w:keepLines w:val="0"/>
              <w:pageBreakBefore w:val="0"/>
              <w:widowControl/>
              <w:kinsoku/>
              <w:wordWrap/>
              <w:topLinePunct w:val="0"/>
              <w:bidi w:val="0"/>
              <w:snapToGrid w:val="0"/>
              <w:spacing w:before="0" w:beforeAutospacing="0" w:after="0" w:afterAutospacing="0"/>
              <w:outlineLvl w:val="9"/>
              <w:rPr>
                <w:rFonts w:hint="eastAsia" w:cs="Times New Roman"/>
                <w:color w:val="auto"/>
                <w:sz w:val="20"/>
                <w:szCs w:val="20"/>
                <w:lang w:val="en-US" w:eastAsia="zh-CN"/>
              </w:rPr>
            </w:pPr>
            <w:r>
              <w:rPr>
                <w:rFonts w:hint="eastAsia" w:cs="Times New Roman"/>
                <w:color w:val="auto"/>
                <w:sz w:val="20"/>
                <w:szCs w:val="20"/>
                <w:lang w:val="en-US" w:eastAsia="zh-CN"/>
              </w:rPr>
              <w:t>[0 2 3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top"/>
          </w:tcPr>
          <w:p>
            <w:pPr>
              <w:pStyle w:val="46"/>
              <w:keepNext w:val="0"/>
              <w:keepLines w:val="0"/>
              <w:widowControl/>
              <w:suppressLineNumbers w:val="0"/>
              <w:rPr>
                <w:rFonts w:hint="default" w:ascii="Times New Roman" w:hAnsi="Times New Roman" w:eastAsia="宋体" w:cs="Times New Roman"/>
                <w:sz w:val="24"/>
                <w:szCs w:val="24"/>
                <w:highlight w:val="none"/>
                <w:lang w:val="en-US" w:eastAsia="zh-CN" w:bidi="ar-SA"/>
              </w:rPr>
            </w:pPr>
            <w:r>
              <w:rPr>
                <w:rFonts w:hint="eastAsia" w:cs="Times New Roman"/>
                <w:color w:val="000000"/>
                <w:sz w:val="20"/>
                <w:szCs w:val="20"/>
                <w:highlight w:val="none"/>
                <w:lang w:val="en-US" w:eastAsia="zh-CN"/>
              </w:rPr>
              <w:t>gNB</w:t>
            </w:r>
            <w:r>
              <w:rPr>
                <w:rFonts w:hint="default" w:ascii="Times New Roman" w:hAnsi="Times New Roman" w:cs="Times New Roman"/>
                <w:color w:val="000000"/>
                <w:sz w:val="20"/>
                <w:szCs w:val="20"/>
                <w:highlight w:val="none"/>
              </w:rPr>
              <w:t> antenna configuration</w:t>
            </w:r>
          </w:p>
        </w:tc>
        <w:tc>
          <w:tcPr>
            <w:tcW w:w="0" w:type="auto"/>
            <w:shd w:val="clear" w:color="auto" w:fill="auto"/>
            <w:vAlign w:val="center"/>
          </w:tcPr>
          <w:p>
            <w:pPr>
              <w:pStyle w:val="46"/>
              <w:keepNext w:val="0"/>
              <w:keepLines w:val="0"/>
              <w:pageBreakBefore w:val="0"/>
              <w:widowControl/>
              <w:kinsoku/>
              <w:wordWrap/>
              <w:topLinePunct w:val="0"/>
              <w:bidi w:val="0"/>
              <w:snapToGrid w:val="0"/>
              <w:spacing w:before="0" w:beforeAutospacing="0" w:after="0" w:afterAutospacing="0"/>
              <w:outlineLvl w:val="9"/>
              <w:rPr>
                <w:rFonts w:hint="default" w:ascii="Times New Roman" w:hAnsi="Times New Roman" w:cs="Times New Roman"/>
                <w:color w:val="auto"/>
                <w:sz w:val="20"/>
                <w:szCs w:val="20"/>
                <w:lang w:val="en-US" w:eastAsia="zh-CN"/>
              </w:rPr>
            </w:pPr>
            <w:r>
              <w:rPr>
                <w:rFonts w:hint="eastAsia" w:cs="Times New Roman"/>
                <w:color w:val="auto"/>
                <w:sz w:val="20"/>
                <w:szCs w:val="20"/>
                <w:lang w:val="en-US" w:eastAsia="zh-CN"/>
              </w:rPr>
              <w:t>4</w:t>
            </w:r>
          </w:p>
        </w:tc>
        <w:tc>
          <w:tcPr>
            <w:tcW w:w="0" w:type="auto"/>
            <w:shd w:val="clear" w:color="auto" w:fill="auto"/>
            <w:vAlign w:val="center"/>
          </w:tcPr>
          <w:p>
            <w:pPr>
              <w:pStyle w:val="46"/>
              <w:keepNext w:val="0"/>
              <w:keepLines w:val="0"/>
              <w:pageBreakBefore w:val="0"/>
              <w:widowControl/>
              <w:kinsoku/>
              <w:wordWrap/>
              <w:topLinePunct w:val="0"/>
              <w:bidi w:val="0"/>
              <w:snapToGrid w:val="0"/>
              <w:spacing w:before="0" w:beforeAutospacing="0" w:after="0" w:afterAutospacing="0"/>
              <w:outlineLvl w:val="9"/>
              <w:rPr>
                <w:rFonts w:hint="eastAsia"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pPr>
              <w:pStyle w:val="46"/>
              <w:keepNext w:val="0"/>
              <w:keepLines w:val="0"/>
              <w:widowControl/>
              <w:suppressLineNumbers w:val="0"/>
              <w:rPr>
                <w:rFonts w:hint="default" w:ascii="Times New Roman" w:hAnsi="Times New Roman" w:eastAsia="宋体" w:cs="Times New Roman"/>
                <w:sz w:val="24"/>
                <w:szCs w:val="24"/>
                <w:highlight w:val="none"/>
                <w:lang w:val="en-US" w:eastAsia="en-US" w:bidi="ar-SA"/>
              </w:rPr>
            </w:pPr>
            <w:r>
              <w:rPr>
                <w:rFonts w:hint="default" w:ascii="Times New Roman" w:hAnsi="Times New Roman" w:cs="Times New Roman"/>
                <w:color w:val="000000"/>
                <w:sz w:val="20"/>
                <w:szCs w:val="20"/>
                <w:highlight w:val="none"/>
              </w:rPr>
              <w:t>UE antenna configuration</w:t>
            </w:r>
          </w:p>
        </w:tc>
        <w:tc>
          <w:tcPr>
            <w:tcW w:w="0" w:type="auto"/>
            <w:gridSpan w:val="2"/>
            <w:shd w:val="clear" w:color="auto" w:fill="auto"/>
            <w:vAlign w:val="center"/>
          </w:tcPr>
          <w:p>
            <w:pPr>
              <w:pStyle w:val="46"/>
              <w:keepNext w:val="0"/>
              <w:keepLines w:val="0"/>
              <w:pageBreakBefore w:val="0"/>
              <w:widowControl/>
              <w:kinsoku/>
              <w:wordWrap/>
              <w:topLinePunct w:val="0"/>
              <w:bidi w:val="0"/>
              <w:snapToGrid w:val="0"/>
              <w:spacing w:before="0" w:beforeAutospacing="0" w:after="0" w:afterAutospacing="0"/>
              <w:outlineLvl w:val="9"/>
              <w:rPr>
                <w:rFonts w:hint="default"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DMRS overhead</w:t>
            </w:r>
          </w:p>
        </w:tc>
        <w:tc>
          <w:tcPr>
            <w:tcW w:w="0" w:type="auto"/>
            <w:gridSpan w:val="2"/>
            <w:shd w:val="clear" w:color="auto" w:fill="auto"/>
            <w:vAlign w:val="top"/>
          </w:tcPr>
          <w:p>
            <w:pPr>
              <w:pStyle w:val="46"/>
              <w:keepNext w:val="0"/>
              <w:keepLines w:val="0"/>
              <w:pageBreakBefore w:val="0"/>
              <w:widowControl/>
              <w:kinsoku/>
              <w:wordWrap/>
              <w:topLinePunct w:val="0"/>
              <w:bidi w:val="0"/>
              <w:snapToGrid w:val="0"/>
              <w:spacing w:before="0" w:beforeAutospacing="0" w:after="0" w:afterAutospacing="0"/>
              <w:outlineLvl w:val="9"/>
              <w:rPr>
                <w:rFonts w:hint="default" w:ascii="Times New Roman" w:hAnsi="Times New Roman" w:cs="Times New Roman"/>
                <w:sz w:val="20"/>
                <w:szCs w:val="20"/>
              </w:rPr>
            </w:pPr>
            <w:r>
              <w:rPr>
                <w:rFonts w:hint="eastAsia" w:ascii="Times New Roman" w:hAnsi="Times New Roman" w:cs="Times New Roman"/>
                <w:sz w:val="20"/>
                <w:szCs w:val="20"/>
              </w:rPr>
              <w:t>Type</w:t>
            </w:r>
            <w:r>
              <w:rPr>
                <w:rFonts w:hint="default" w:ascii="Times New Roman" w:hAnsi="Times New Roman" w:cs="Times New Roman"/>
                <w:sz w:val="20"/>
                <w:szCs w:val="20"/>
              </w:rPr>
              <w:t xml:space="preserve"> I, </w:t>
            </w:r>
            <w:r>
              <w:rPr>
                <w:rFonts w:hint="eastAsia" w:cs="Times New Roman"/>
                <w:sz w:val="20"/>
                <w:szCs w:val="20"/>
                <w:lang w:val="en-US" w:eastAsia="zh-CN"/>
              </w:rPr>
              <w:t xml:space="preserve">3 </w:t>
            </w:r>
            <w:r>
              <w:rPr>
                <w:rFonts w:hint="default" w:ascii="Times New Roman" w:hAnsi="Times New Roman" w:cs="Times New Roman"/>
                <w:sz w:val="20"/>
                <w:szCs w:val="20"/>
              </w:rPr>
              <w:t>DMRS symbol</w:t>
            </w:r>
            <w:r>
              <w:rPr>
                <w:rFonts w:hint="eastAsia" w:cs="Times New Roman"/>
                <w:sz w:val="20"/>
                <w:szCs w:val="20"/>
                <w:lang w:val="en-US" w:eastAsia="zh-CN"/>
              </w:rPr>
              <w:t>s</w:t>
            </w:r>
            <w:r>
              <w:rPr>
                <w:rFonts w:hint="default" w:ascii="Times New Roman" w:hAnsi="Times New Roman" w:cs="Times New Roman"/>
                <w:sz w:val="20"/>
                <w:szCs w:val="20"/>
              </w:rPr>
              <w:t>, no multiplexing with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Channel estimation</w:t>
            </w:r>
          </w:p>
        </w:tc>
        <w:tc>
          <w:tcPr>
            <w:tcW w:w="0" w:type="auto"/>
            <w:gridSpan w:val="2"/>
            <w:shd w:val="clear" w:color="auto" w:fill="auto"/>
            <w:vAlign w:val="top"/>
          </w:tcPr>
          <w:p>
            <w:pPr>
              <w:pStyle w:val="46"/>
              <w:keepNext w:val="0"/>
              <w:keepLines w:val="0"/>
              <w:pageBreakBefore w:val="0"/>
              <w:widowControl/>
              <w:kinsoku/>
              <w:wordWrap/>
              <w:topLinePunct w:val="0"/>
              <w:bidi w:val="0"/>
              <w:snapToGrid w:val="0"/>
              <w:spacing w:before="0" w:beforeAutospacing="0" w:after="0" w:afterAutospacing="0"/>
              <w:outlineLvl w:val="9"/>
              <w:rPr>
                <w:rFonts w:hint="default" w:ascii="Times New Roman" w:hAnsi="Times New Roman" w:cs="Times New Roman"/>
                <w:sz w:val="20"/>
                <w:szCs w:val="20"/>
              </w:rPr>
            </w:pPr>
            <w:r>
              <w:rPr>
                <w:rFonts w:hint="default" w:ascii="Times New Roman" w:hAnsi="Times New Roman" w:cs="Times New Roman"/>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Receiver type</w:t>
            </w:r>
          </w:p>
        </w:tc>
        <w:tc>
          <w:tcPr>
            <w:tcW w:w="0" w:type="auto"/>
            <w:gridSpan w:val="2"/>
            <w:shd w:val="clear" w:color="auto" w:fill="auto"/>
            <w:vAlign w:val="top"/>
          </w:tcPr>
          <w:p>
            <w:pPr>
              <w:pStyle w:val="46"/>
              <w:keepNext w:val="0"/>
              <w:keepLines w:val="0"/>
              <w:pageBreakBefore w:val="0"/>
              <w:widowControl/>
              <w:kinsoku/>
              <w:wordWrap/>
              <w:topLinePunct w:val="0"/>
              <w:bidi w:val="0"/>
              <w:snapToGrid w:val="0"/>
              <w:spacing w:before="0" w:beforeAutospacing="0" w:after="0" w:afterAutospacing="0"/>
              <w:outlineLvl w:val="9"/>
              <w:rPr>
                <w:rFonts w:hint="default" w:ascii="Times New Roman" w:hAnsi="Times New Roman" w:cs="Times New Roman"/>
                <w:sz w:val="20"/>
                <w:szCs w:val="20"/>
              </w:rPr>
            </w:pPr>
            <w:r>
              <w:rPr>
                <w:rFonts w:hint="default" w:ascii="Times New Roman" w:hAnsi="Times New Roman" w:cs="Times New Roman"/>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top"/>
          </w:tcPr>
          <w:p>
            <w:pPr>
              <w:pStyle w:val="4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color w:val="000000"/>
                <w:sz w:val="20"/>
                <w:szCs w:val="20"/>
              </w:rPr>
              <w:t>BLER Target </w:t>
            </w:r>
          </w:p>
        </w:tc>
        <w:tc>
          <w:tcPr>
            <w:tcW w:w="0" w:type="auto"/>
            <w:gridSpan w:val="2"/>
            <w:shd w:val="clear" w:color="auto" w:fill="auto"/>
            <w:vAlign w:val="top"/>
          </w:tcPr>
          <w:p>
            <w:pPr>
              <w:pStyle w:val="46"/>
              <w:keepNext w:val="0"/>
              <w:keepLines w:val="0"/>
              <w:pageBreakBefore w:val="0"/>
              <w:widowControl/>
              <w:kinsoku/>
              <w:wordWrap/>
              <w:topLinePunct w:val="0"/>
              <w:bidi w:val="0"/>
              <w:snapToGrid w:val="0"/>
              <w:spacing w:before="0" w:beforeAutospacing="0" w:after="0" w:afterAutospacing="0"/>
              <w:outlineLvl w:val="9"/>
              <w:rPr>
                <w:rFonts w:hint="default" w:ascii="Times New Roman" w:hAnsi="Times New Roman" w:eastAsia="宋体" w:cs="Times New Roman"/>
                <w:sz w:val="20"/>
                <w:szCs w:val="20"/>
                <w:lang w:val="en-US" w:eastAsia="zh-CN"/>
              </w:rPr>
            </w:pPr>
            <w:r>
              <w:rPr>
                <w:rFonts w:hint="eastAsia" w:cs="Times New Roman"/>
                <w:sz w:val="20"/>
                <w:szCs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rPr>
              <w:t>Waveform</w:t>
            </w:r>
          </w:p>
        </w:tc>
        <w:tc>
          <w:tcPr>
            <w:tcW w:w="0" w:type="auto"/>
            <w:gridSpan w:val="2"/>
            <w:shd w:val="clear" w:color="auto" w:fill="auto"/>
            <w:vAlign w:val="top"/>
          </w:tcPr>
          <w:p>
            <w:pPr>
              <w:pStyle w:val="46"/>
              <w:keepNext w:val="0"/>
              <w:keepLines w:val="0"/>
              <w:pageBreakBefore w:val="0"/>
              <w:widowControl/>
              <w:kinsoku/>
              <w:wordWrap/>
              <w:topLinePunct w:val="0"/>
              <w:bidi w:val="0"/>
              <w:snapToGrid w:val="0"/>
              <w:spacing w:before="0" w:beforeAutospacing="0" w:after="0" w:afterAutospacing="0"/>
              <w:outlineLvl w:val="9"/>
              <w:rPr>
                <w:rFonts w:hint="eastAsia" w:cs="Times New Roman"/>
                <w:sz w:val="20"/>
                <w:szCs w:val="20"/>
                <w:lang w:val="en-US" w:eastAsia="zh-CN"/>
              </w:rPr>
            </w:pPr>
            <w:r>
              <w:rPr>
                <w:rFonts w:hint="eastAsia" w:cs="Times New Roman"/>
                <w:sz w:val="20"/>
                <w:szCs w:val="20"/>
                <w:lang w:val="en-US" w:eastAsia="zh-CN"/>
              </w:rPr>
              <w:t>DFT-S-OFDM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vAlign w:val="top"/>
          </w:tcPr>
          <w:p>
            <w:pPr>
              <w:spacing w:after="0"/>
              <w:jc w:val="left"/>
              <w:rPr>
                <w:rFonts w:hint="eastAsia" w:ascii="Times New Roman" w:hAnsi="Times New Roman" w:cs="Times New Roman"/>
                <w:color w:val="000000"/>
                <w:sz w:val="20"/>
                <w:szCs w:val="20"/>
              </w:rPr>
            </w:pPr>
            <w:r>
              <w:rPr>
                <w:rFonts w:hint="default" w:eastAsia="宋体"/>
                <w:highlight w:val="none"/>
                <w:lang w:val="en-US" w:eastAsia="zh-CN"/>
              </w:rPr>
              <w:t>Frequency hopping </w:t>
            </w:r>
          </w:p>
        </w:tc>
        <w:tc>
          <w:tcPr>
            <w:tcW w:w="0" w:type="auto"/>
            <w:gridSpan w:val="2"/>
            <w:shd w:val="clear" w:color="auto" w:fill="auto"/>
            <w:vAlign w:val="top"/>
          </w:tcPr>
          <w:p>
            <w:pPr>
              <w:spacing w:after="0"/>
              <w:jc w:val="left"/>
              <w:rPr>
                <w:rFonts w:hint="eastAsia" w:cs="Times New Roman"/>
                <w:sz w:val="20"/>
                <w:szCs w:val="20"/>
                <w:lang w:val="en-US" w:eastAsia="zh-CN"/>
              </w:rPr>
            </w:pPr>
            <w:r>
              <w:rPr>
                <w:rFonts w:hint="eastAsia" w:eastAsia="宋体"/>
                <w:highlight w:val="none"/>
                <w:lang w:val="en-US" w:eastAsia="zh-CN"/>
              </w:rPr>
              <w:t>w/ inter slot hopping</w:t>
            </w:r>
          </w:p>
        </w:tc>
      </w:tr>
    </w:tbl>
    <w:p>
      <w:pPr>
        <w:rPr>
          <w:lang w:val="en-US" w:eastAsia="zh-CN"/>
        </w:rPr>
      </w:pPr>
    </w:p>
    <w:p>
      <w:pPr>
        <w:rPr>
          <w:lang w:val="en-US" w:eastAsia="zh-CN"/>
        </w:rPr>
      </w:pPr>
    </w:p>
    <w:tbl>
      <w:tblPr>
        <w:tblStyle w:val="51"/>
        <w:tblW w:w="95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192"/>
        <w:gridCol w:w="3192"/>
        <w:gridCol w:w="31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3" w:hRule="atLeast"/>
        </w:trPr>
        <w:tc>
          <w:tcPr>
            <w:tcW w:w="3192" w:type="dxa"/>
          </w:tcPr>
          <w:p>
            <w:pPr>
              <w:pStyle w:val="119"/>
              <w:spacing w:before="120" w:beforeLines="50" w:afterLines="0" w:line="240" w:lineRule="auto"/>
              <w:jc w:val="center"/>
              <w:rPr>
                <w:sz w:val="16"/>
                <w:szCs w:val="16"/>
              </w:rPr>
            </w:pPr>
            <w:r>
              <w:drawing>
                <wp:inline distT="0" distB="0" distL="114300" distR="114300">
                  <wp:extent cx="1886585" cy="1985010"/>
                  <wp:effectExtent l="4445" t="4445" r="13970" b="10795"/>
                  <wp:docPr id="47" name="图表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119"/>
              <w:spacing w:before="120" w:beforeLines="50" w:afterLines="0" w:line="240" w:lineRule="auto"/>
              <w:jc w:val="center"/>
              <w:rPr>
                <w:rFonts w:hint="default" w:eastAsia="宋体"/>
                <w:sz w:val="16"/>
                <w:szCs w:val="16"/>
                <w:lang w:val="en-US" w:eastAsia="zh-CN"/>
              </w:rPr>
            </w:pPr>
            <w:r>
              <w:rPr>
                <w:rFonts w:hint="eastAsia"/>
                <w:sz w:val="16"/>
                <w:szCs w:val="16"/>
                <w:lang w:val="en-US" w:eastAsia="zh-CN"/>
              </w:rPr>
              <w:t>(A-1a) Rma_72bits</w:t>
            </w:r>
          </w:p>
        </w:tc>
        <w:tc>
          <w:tcPr>
            <w:tcW w:w="3192" w:type="dxa"/>
          </w:tcPr>
          <w:p>
            <w:pPr>
              <w:pStyle w:val="119"/>
              <w:spacing w:before="120" w:beforeLines="50" w:afterLines="0" w:line="240" w:lineRule="auto"/>
              <w:jc w:val="center"/>
              <w:rPr>
                <w:sz w:val="16"/>
                <w:szCs w:val="16"/>
              </w:rPr>
            </w:pPr>
            <w:r>
              <w:drawing>
                <wp:inline distT="0" distB="0" distL="114300" distR="114300">
                  <wp:extent cx="1888490" cy="2002155"/>
                  <wp:effectExtent l="4445" t="4445" r="12065" b="12700"/>
                  <wp:docPr id="48" name="图表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119"/>
              <w:spacing w:before="120" w:beforeLines="50" w:afterLines="0" w:line="240" w:lineRule="auto"/>
              <w:jc w:val="center"/>
              <w:rPr>
                <w:rFonts w:hint="default"/>
                <w:sz w:val="16"/>
                <w:szCs w:val="16"/>
                <w:lang w:val="en-US" w:eastAsia="zh-CN"/>
              </w:rPr>
            </w:pPr>
            <w:r>
              <w:rPr>
                <w:rFonts w:hint="eastAsia"/>
                <w:sz w:val="16"/>
                <w:szCs w:val="16"/>
                <w:lang w:val="en-US" w:eastAsia="zh-CN"/>
              </w:rPr>
              <w:t>(A-1b) Rma_144bits</w:t>
            </w:r>
          </w:p>
        </w:tc>
        <w:tc>
          <w:tcPr>
            <w:tcW w:w="3192" w:type="dxa"/>
          </w:tcPr>
          <w:p>
            <w:pPr>
              <w:pStyle w:val="119"/>
              <w:spacing w:before="120" w:beforeLines="50" w:afterLines="0" w:line="240" w:lineRule="auto"/>
              <w:jc w:val="center"/>
              <w:rPr>
                <w:sz w:val="16"/>
                <w:szCs w:val="16"/>
              </w:rPr>
            </w:pPr>
            <w:r>
              <w:drawing>
                <wp:inline distT="0" distB="0" distL="114300" distR="114300">
                  <wp:extent cx="1888490" cy="2015490"/>
                  <wp:effectExtent l="4445" t="4445" r="12065" b="18415"/>
                  <wp:docPr id="49" name="图表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119"/>
              <w:spacing w:before="120" w:beforeLines="50" w:afterLines="0" w:line="240" w:lineRule="auto"/>
              <w:jc w:val="center"/>
              <w:rPr>
                <w:sz w:val="16"/>
                <w:szCs w:val="16"/>
                <w:lang w:val="en-US" w:eastAsia="zh-CN"/>
              </w:rPr>
            </w:pPr>
            <w:r>
              <w:rPr>
                <w:rFonts w:hint="eastAsia"/>
                <w:sz w:val="16"/>
                <w:szCs w:val="16"/>
                <w:lang w:val="en-US" w:eastAsia="zh-CN"/>
              </w:rPr>
              <w:t>(A-1c) Rma_208bits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6" w:hRule="atLeast"/>
        </w:trPr>
        <w:tc>
          <w:tcPr>
            <w:tcW w:w="3192" w:type="dxa"/>
          </w:tcPr>
          <w:p>
            <w:pPr>
              <w:pStyle w:val="119"/>
              <w:spacing w:before="120" w:beforeLines="50" w:afterLines="0" w:line="240" w:lineRule="auto"/>
              <w:jc w:val="center"/>
            </w:pPr>
            <w:r>
              <w:drawing>
                <wp:inline distT="0" distB="0" distL="114300" distR="114300">
                  <wp:extent cx="1888490" cy="1837690"/>
                  <wp:effectExtent l="4445" t="4445" r="12065" b="5715"/>
                  <wp:docPr id="43" name="图表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119"/>
              <w:spacing w:before="120" w:beforeLines="50" w:afterLines="0" w:line="240" w:lineRule="auto"/>
              <w:jc w:val="center"/>
              <w:rPr>
                <w:rFonts w:hint="eastAsia"/>
                <w:lang w:val="en-US" w:eastAsia="zh-CN"/>
              </w:rPr>
            </w:pPr>
            <w:r>
              <w:rPr>
                <w:rFonts w:hint="eastAsia"/>
                <w:sz w:val="16"/>
                <w:szCs w:val="16"/>
                <w:lang w:val="en-US" w:eastAsia="zh-CN"/>
              </w:rPr>
              <w:t>(A-1d) Uma_72bits</w:t>
            </w:r>
          </w:p>
        </w:tc>
        <w:tc>
          <w:tcPr>
            <w:tcW w:w="3192" w:type="dxa"/>
          </w:tcPr>
          <w:p>
            <w:pPr>
              <w:pStyle w:val="119"/>
              <w:spacing w:before="120" w:beforeLines="50" w:afterLines="0" w:line="240" w:lineRule="auto"/>
              <w:jc w:val="center"/>
              <w:rPr>
                <w:rFonts w:hint="eastAsia"/>
                <w:sz w:val="16"/>
                <w:szCs w:val="16"/>
                <w:lang w:val="en-US" w:eastAsia="zh-CN"/>
              </w:rPr>
            </w:pPr>
            <w:r>
              <w:drawing>
                <wp:inline distT="0" distB="0" distL="114300" distR="114300">
                  <wp:extent cx="1888490" cy="1837690"/>
                  <wp:effectExtent l="4445" t="4445" r="12065" b="5715"/>
                  <wp:docPr id="44" name="图表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119"/>
              <w:spacing w:before="120" w:beforeLines="50" w:afterLines="0" w:line="240" w:lineRule="auto"/>
              <w:jc w:val="center"/>
              <w:rPr>
                <w:rFonts w:hint="eastAsia"/>
                <w:sz w:val="16"/>
                <w:szCs w:val="16"/>
                <w:lang w:val="en-US" w:eastAsia="zh-CN"/>
              </w:rPr>
            </w:pPr>
            <w:r>
              <w:rPr>
                <w:rFonts w:hint="eastAsia"/>
                <w:sz w:val="16"/>
                <w:szCs w:val="16"/>
                <w:lang w:val="en-US" w:eastAsia="zh-CN"/>
              </w:rPr>
              <w:t>(A-1e) Uma_144bits</w:t>
            </w:r>
          </w:p>
        </w:tc>
        <w:tc>
          <w:tcPr>
            <w:tcW w:w="3192" w:type="dxa"/>
          </w:tcPr>
          <w:p>
            <w:pPr>
              <w:pStyle w:val="119"/>
              <w:spacing w:before="120" w:beforeLines="50" w:afterLines="0" w:line="240" w:lineRule="auto"/>
              <w:jc w:val="center"/>
              <w:rPr>
                <w:rFonts w:hint="eastAsia"/>
                <w:sz w:val="16"/>
                <w:szCs w:val="16"/>
                <w:lang w:val="en-US" w:eastAsia="zh-CN"/>
              </w:rPr>
            </w:pPr>
            <w:r>
              <w:drawing>
                <wp:inline distT="0" distB="0" distL="114300" distR="114300">
                  <wp:extent cx="1888490" cy="1837690"/>
                  <wp:effectExtent l="4445" t="4445" r="12065" b="5715"/>
                  <wp:docPr id="45" name="图表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pStyle w:val="119"/>
              <w:spacing w:before="120" w:beforeLines="50" w:afterLines="0" w:line="240" w:lineRule="auto"/>
              <w:jc w:val="center"/>
              <w:rPr>
                <w:rFonts w:hint="eastAsia"/>
                <w:sz w:val="16"/>
                <w:szCs w:val="16"/>
                <w:lang w:val="en-US" w:eastAsia="zh-CN"/>
              </w:rPr>
            </w:pPr>
            <w:r>
              <w:rPr>
                <w:rFonts w:hint="eastAsia"/>
                <w:sz w:val="16"/>
                <w:szCs w:val="16"/>
                <w:lang w:val="en-US" w:eastAsia="zh-CN"/>
              </w:rPr>
              <w:t>(A-1f) Uma_208bits</w:t>
            </w:r>
          </w:p>
        </w:tc>
      </w:tr>
    </w:tbl>
    <w:p>
      <w:pPr>
        <w:rPr>
          <w:lang w:val="en-US" w:eastAsia="zh-CN"/>
        </w:rPr>
      </w:pPr>
    </w:p>
    <w:p>
      <w:pPr>
        <w:jc w:val="center"/>
        <w:rPr>
          <w:rFonts w:hint="default"/>
          <w:lang w:val="en-US" w:eastAsia="zh-CN"/>
        </w:rPr>
      </w:pPr>
      <w:r>
        <w:rPr>
          <w:rFonts w:hint="eastAsia" w:eastAsiaTheme="minorEastAsia"/>
          <w:color w:val="000000" w:themeColor="text1"/>
          <w:kern w:val="24"/>
          <w:lang w:val="en-US" w:eastAsia="zh-CN"/>
          <w14:textFill>
            <w14:solidFill>
              <w14:schemeClr w14:val="tx1"/>
            </w14:solidFill>
          </w14:textFill>
        </w:rPr>
        <w:t>Figure</w:t>
      </w:r>
      <w:r>
        <w:rPr>
          <w:rFonts w:eastAsiaTheme="minorEastAsia"/>
          <w:color w:val="000000" w:themeColor="text1"/>
          <w:kern w:val="24"/>
          <w14:textFill>
            <w14:solidFill>
              <w14:schemeClr w14:val="tx1"/>
            </w14:solidFill>
          </w14:textFill>
        </w:rPr>
        <w:t xml:space="preserve"> </w:t>
      </w:r>
      <w:r>
        <w:rPr>
          <w:rFonts w:hint="eastAsia" w:eastAsiaTheme="minorEastAsia"/>
          <w:color w:val="000000" w:themeColor="text1"/>
          <w:kern w:val="24"/>
          <w:lang w:val="en-US" w:eastAsia="zh-CN"/>
          <w14:textFill>
            <w14:solidFill>
              <w14:schemeClr w14:val="tx1"/>
            </w14:solidFill>
          </w14:textFill>
        </w:rPr>
        <w:t xml:space="preserve">A-1 </w:t>
      </w:r>
      <w:r>
        <w:t xml:space="preserve">Simulation </w:t>
      </w:r>
      <w:r>
        <w:rPr>
          <w:rFonts w:hint="eastAsia"/>
          <w:lang w:val="en-US" w:eastAsia="zh-CN"/>
        </w:rPr>
        <w:t xml:space="preserve">results </w:t>
      </w:r>
      <w:r>
        <w:t xml:space="preserve">for </w:t>
      </w:r>
      <w:r>
        <w:rPr>
          <w:rFonts w:hint="eastAsia"/>
          <w:lang w:val="en-US" w:eastAsia="zh-CN"/>
        </w:rPr>
        <w:t xml:space="preserve">Msg3 PUSCH repetition, without power normalization.  </w:t>
      </w:r>
    </w:p>
    <w:p>
      <w:pPr>
        <w:rPr>
          <w:lang w:val="en-US" w:eastAsia="zh-CN"/>
        </w:rPr>
      </w:pPr>
      <w:bookmarkStart w:id="4" w:name="_GoBack"/>
      <w:bookmarkEnd w:id="4"/>
    </w:p>
    <w:p>
      <w:pPr>
        <w:pStyle w:val="2"/>
        <w:numPr>
          <w:ilvl w:val="0"/>
          <w:numId w:val="0"/>
        </w:numPr>
        <w:ind w:leftChars="0"/>
        <w:rPr>
          <w:lang w:val="en-US" w:eastAsia="zh-CN"/>
        </w:rPr>
      </w:pPr>
      <w:r>
        <w:rPr>
          <w:lang w:val="en-US" w:eastAsia="zh-CN"/>
        </w:rPr>
        <w:t xml:space="preserve">Appendix - </w:t>
      </w:r>
      <w:r>
        <w:rPr>
          <w:rFonts w:hint="eastAsia"/>
          <w:lang w:val="en-US" w:eastAsia="zh-CN"/>
        </w:rPr>
        <w:t>B</w:t>
      </w:r>
      <w:r>
        <w:rPr>
          <w:lang w:val="en-US" w:eastAsia="zh-CN"/>
        </w:rPr>
        <w:t>: Legacy rules for use of flexible symbol for Msg3 transmission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If SFI is not configured, </w:t>
            </w:r>
            <w:r>
              <w:rPr>
                <w:rFonts w:hint="default" w:ascii="Times New Roman" w:hAnsi="Times New Roman" w:cs="Times New Roman"/>
                <w:lang w:val="en-US" w:eastAsia="zh-CN"/>
              </w:rPr>
              <w:t xml:space="preserve">the following symbols are available symbols for Msg3 transmission according to current specification. </w:t>
            </w:r>
          </w:p>
          <w:p>
            <w:pPr>
              <w:numPr>
                <w:ilvl w:val="0"/>
                <w:numId w:val="20"/>
              </w:numPr>
              <w:tabs>
                <w:tab w:val="left" w:pos="420"/>
                <w:tab w:val="clear" w:pos="0"/>
              </w:tabs>
              <w:spacing w:before="120" w:line="280" w:lineRule="atLeast"/>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1) Uplink symbols indicated </w:t>
            </w:r>
            <w:r>
              <w:rPr>
                <w:rFonts w:hint="default" w:ascii="Times New Roman" w:hAnsi="Times New Roman" w:cs="Times New Roman"/>
              </w:rPr>
              <w:t xml:space="preserve">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w:t>
            </w:r>
            <w:r>
              <w:rPr>
                <w:rFonts w:hint="default" w:ascii="Times New Roman" w:hAnsi="Times New Roman" w:cs="Times New Roman"/>
                <w:highlight w:val="yellow"/>
              </w:rPr>
              <w:t>or</w:t>
            </w:r>
            <w:r>
              <w:rPr>
                <w:rFonts w:hint="default" w:ascii="Times New Roman" w:hAnsi="Times New Roman" w:cs="Times New Roman"/>
              </w:rPr>
              <w:t xml:space="preserve"> by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p>
          <w:p>
            <w:pPr>
              <w:numPr>
                <w:ilvl w:val="0"/>
                <w:numId w:val="20"/>
              </w:numPr>
              <w:tabs>
                <w:tab w:val="left" w:pos="420"/>
                <w:tab w:val="clear" w:pos="0"/>
              </w:tabs>
              <w:spacing w:before="120" w:line="280" w:lineRule="atLeast"/>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2) Flexible symbols indicated </w:t>
            </w:r>
            <w:r>
              <w:rPr>
                <w:rFonts w:hint="default" w:ascii="Times New Roman" w:hAnsi="Times New Roman" w:cs="Times New Roman"/>
              </w:rPr>
              <w:t xml:space="preserve">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w:t>
            </w:r>
            <w:r>
              <w:rPr>
                <w:rFonts w:hint="default" w:ascii="Times New Roman" w:hAnsi="Times New Roman" w:cs="Times New Roman"/>
                <w:highlight w:val="yellow"/>
              </w:rPr>
              <w:t xml:space="preserve">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eastAsia="宋体" w:cs="Times New Roman"/>
                <w:i/>
                <w:lang w:val="en-US" w:eastAsia="zh-CN"/>
              </w:rPr>
              <w:t xml:space="preserve"> </w:t>
            </w:r>
            <w:r>
              <w:rPr>
                <w:rFonts w:hint="default" w:ascii="Times New Roman" w:hAnsi="Times New Roman" w:eastAsia="宋体" w:cs="Times New Roman"/>
                <w:iCs/>
                <w:lang w:val="en-US" w:eastAsia="zh-CN"/>
              </w:rPr>
              <w:t>if provided</w:t>
            </w:r>
            <w:r>
              <w:rPr>
                <w:rFonts w:hint="default" w:ascii="Times New Roman" w:hAnsi="Times New Roman" w:eastAsia="宋体" w:cs="Times New Roman"/>
                <w:i/>
                <w:lang w:val="en-US" w:eastAsia="zh-CN"/>
              </w:rPr>
              <w:t>.</w:t>
            </w:r>
          </w:p>
          <w:p>
            <w:pPr>
              <w:numPr>
                <w:ilvl w:val="1"/>
                <w:numId w:val="20"/>
              </w:numPr>
              <w:spacing w:before="120" w:line="280" w:lineRule="atLeast"/>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If a UE is only provided 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and a symbol is indicated as flexible symbol by</w:t>
            </w:r>
            <w:r>
              <w:rPr>
                <w:rFonts w:hint="default" w:ascii="Times New Roman" w:hAnsi="Times New Roman" w:cs="Times New Roman"/>
                <w:i/>
                <w:lang w:val="en-US" w:eastAsia="zh-CN"/>
              </w:rPr>
              <w:t xml:space="preserve">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i/>
                <w:lang w:val="en-US" w:eastAsia="zh-CN"/>
              </w:rPr>
              <w:t>,</w:t>
            </w:r>
            <w:r>
              <w:rPr>
                <w:rFonts w:hint="default" w:ascii="Times New Roman" w:hAnsi="Times New Roman" w:cs="Times New Roman"/>
                <w:iCs/>
                <w:lang w:val="en-US" w:eastAsia="zh-CN"/>
              </w:rPr>
              <w:t xml:space="preserve"> it is a common understanding that</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the flexible symbol</w:t>
            </w:r>
            <w:r>
              <w:rPr>
                <w:rFonts w:hint="default" w:ascii="Times New Roman" w:hAnsi="Times New Roman" w:cs="Times New Roman"/>
                <w:lang w:val="en-US" w:eastAsia="zh-CN"/>
              </w:rPr>
              <w:t xml:space="preserve"> can be used for Msg3 transmission.  </w:t>
            </w:r>
          </w:p>
          <w:p>
            <w:pPr>
              <w:numPr>
                <w:ilvl w:val="1"/>
                <w:numId w:val="20"/>
              </w:numPr>
              <w:spacing w:before="120" w:line="280" w:lineRule="atLeast"/>
              <w:jc w:val="both"/>
              <w:rPr>
                <w:rFonts w:hint="default" w:ascii="Times New Roman" w:hAnsi="Times New Roman" w:cs="Times New Roman"/>
              </w:rPr>
            </w:pPr>
            <w:r>
              <w:rPr>
                <w:rFonts w:hint="default" w:ascii="Times New Roman" w:hAnsi="Times New Roman" w:cs="Times New Roman"/>
                <w:lang w:val="en-US" w:eastAsia="zh-CN"/>
              </w:rPr>
              <w:t xml:space="preserve">If a UE is provided by both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i/>
                <w:lang w:val="en-US" w:eastAsia="zh-CN"/>
              </w:rPr>
              <w:t xml:space="preserve"> </w:t>
            </w:r>
            <w:r>
              <w:rPr>
                <w:rFonts w:hint="default" w:ascii="Times New Roman" w:hAnsi="Times New Roman" w:cs="Times New Roman"/>
                <w:iCs/>
                <w:highlight w:val="yellow"/>
                <w:lang w:val="en-US" w:eastAsia="zh-CN"/>
              </w:rPr>
              <w:t xml:space="preserve">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and a symbol is indicated as flexible symbol by</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 xml:space="preserve">both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i/>
                <w:lang w:val="en-US" w:eastAsia="zh-CN"/>
              </w:rPr>
              <w:t xml:space="preserve"> </w:t>
            </w:r>
            <w:r>
              <w:rPr>
                <w:rFonts w:hint="default" w:ascii="Times New Roman" w:hAnsi="Times New Roman" w:cs="Times New Roman"/>
                <w:iCs/>
                <w:highlight w:val="yellow"/>
                <w:lang w:val="en-US" w:eastAsia="zh-CN"/>
              </w:rPr>
              <w:t xml:space="preserve">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 xml:space="preserve">the flexible symbol is available for Msg3 </w:t>
            </w:r>
            <w:r>
              <w:rPr>
                <w:rFonts w:hint="default" w:ascii="Times New Roman" w:hAnsi="Times New Roman" w:cs="Times New Roman"/>
                <w:lang w:val="en-US" w:eastAsia="zh-CN"/>
              </w:rPr>
              <w:t>transmission</w:t>
            </w:r>
            <w:r>
              <w:rPr>
                <w:rFonts w:hint="default" w:ascii="Times New Roman" w:hAnsi="Times New Roman" w:cs="Times New Roman"/>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hint="default" w:ascii="Times New Roman" w:hAnsi="Times New Roman" w:cs="Times New Roman"/>
                      <w:lang w:val="en-US"/>
                    </w:rPr>
                  </w:pPr>
                  <w:r>
                    <w:rPr>
                      <w:rFonts w:hint="default" w:ascii="Times New Roman" w:hAnsi="Times New Roman" w:cs="Times New Roman"/>
                      <w:lang w:val="en-US"/>
                    </w:rPr>
                    <w:t>If a UE is not configured to monitor PDCCH for DCI format 2_0, f</w:t>
                  </w:r>
                  <w:r>
                    <w:rPr>
                      <w:rFonts w:hint="default" w:ascii="Times New Roman" w:hAnsi="Times New Roman" w:cs="Times New Roman"/>
                    </w:rPr>
                    <w:t xml:space="preserve">or a set of symbols of a slot that are indicated as flexible 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eastAsia="等线" w:cs="Times New Roman"/>
                      <w:i/>
                      <w:lang w:eastAsia="zh-CN"/>
                    </w:rPr>
                    <w:t xml:space="preserve"> </w:t>
                  </w:r>
                  <w:r>
                    <w:rPr>
                      <w:rFonts w:hint="default" w:ascii="Times New Roman" w:hAnsi="Times New Roman" w:eastAsia="等线" w:cs="Times New Roman"/>
                      <w:lang w:eastAsia="zh-CN"/>
                    </w:rPr>
                    <w:t>if provided</w:t>
                  </w:r>
                  <w:r>
                    <w:rPr>
                      <w:rFonts w:hint="default" w:ascii="Times New Roman" w:hAnsi="Times New Roman" w:cs="Times New Roman"/>
                    </w:rPr>
                    <w:t xml:space="preserve">, or when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rPr>
                    <w:t xml:space="preserve"> are not provided to the UE</w:t>
                  </w:r>
                </w:p>
                <w:p>
                  <w:pPr>
                    <w:pStyle w:val="88"/>
                    <w:spacing w:before="120" w:line="280" w:lineRule="atLeast"/>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w:t>
                  </w:r>
                  <w:r>
                    <w:rPr>
                      <w:rFonts w:hint="default" w:ascii="Times New Roman" w:hAnsi="Times New Roman" w:cs="Times New Roman"/>
                    </w:rPr>
                    <w:t>he UE receive</w:t>
                  </w:r>
                  <w:r>
                    <w:rPr>
                      <w:rFonts w:hint="default" w:ascii="Times New Roman" w:hAnsi="Times New Roman" w:cs="Times New Roman"/>
                      <w:lang w:val="en-US"/>
                    </w:rPr>
                    <w:t>s</w:t>
                  </w:r>
                  <w:r>
                    <w:rPr>
                      <w:rFonts w:hint="default" w:ascii="Times New Roman" w:hAnsi="Times New Roman" w:cs="Times New Roman"/>
                    </w:rPr>
                    <w:t xml:space="preserve"> PDSCH or CSI-RS in the set of symbols of the slot if the UE receives a corresponding indication by a DCI format </w:t>
                  </w:r>
                  <w:r>
                    <w:rPr>
                      <w:rFonts w:hint="default" w:ascii="Times New Roman" w:hAnsi="Times New Roman" w:cs="Times New Roman"/>
                      <w:lang w:val="en-US"/>
                    </w:rPr>
                    <w:t>1_0, DCI format 1_1, or DCI format 0_1</w:t>
                  </w:r>
                  <w:r>
                    <w:rPr>
                      <w:rFonts w:hint="default" w:ascii="Times New Roman" w:hAnsi="Times New Roman" w:cs="Times New Roman"/>
                    </w:rPr>
                    <w:t xml:space="preserve"> </w:t>
                  </w:r>
                </w:p>
                <w:p>
                  <w:pPr>
                    <w:pStyle w:val="88"/>
                    <w:spacing w:before="120" w:line="280" w:lineRule="atLeast"/>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w:t>
                  </w:r>
                  <w:r>
                    <w:rPr>
                      <w:rFonts w:hint="default" w:ascii="Times New Roman" w:hAnsi="Times New Roman" w:cs="Times New Roman"/>
                    </w:rPr>
                    <w:t>he UE transmit</w:t>
                  </w:r>
                  <w:r>
                    <w:rPr>
                      <w:rFonts w:hint="default" w:ascii="Times New Roman" w:hAnsi="Times New Roman" w:cs="Times New Roman"/>
                      <w:lang w:val="en-US"/>
                    </w:rPr>
                    <w:t>s</w:t>
                  </w:r>
                  <w:r>
                    <w:rPr>
                      <w:rFonts w:hint="default" w:ascii="Times New Roman" w:hAnsi="Times New Roman" w:cs="Times New Roman"/>
                    </w:rPr>
                    <w:t xml:space="preserve"> PUSCH, PUCCH, PRACH, or SRS in the set of symbols of the slot if the UE receives a corresponding indication by a DCI format </w:t>
                  </w:r>
                  <w:r>
                    <w:rPr>
                      <w:rFonts w:hint="default" w:ascii="Times New Roman" w:hAnsi="Times New Roman" w:cs="Times New Roman"/>
                      <w:lang w:val="en-US"/>
                    </w:rPr>
                    <w:t>0_0, DCI format 0_1, DCI format 1_0, DCI format 1_1, DCI format 2_3, or a RAR UL grant</w:t>
                  </w:r>
                  <w:r>
                    <w:rPr>
                      <w:rFonts w:hint="default" w:ascii="Times New Roman" w:hAnsi="Times New Roman" w:cs="Times New Roman"/>
                    </w:rPr>
                    <w:t xml:space="preserve"> </w:t>
                  </w:r>
                </w:p>
              </w:tc>
            </w:tr>
          </w:tbl>
          <w:p>
            <w:pPr>
              <w:tabs>
                <w:tab w:val="left" w:pos="840"/>
              </w:tabs>
              <w:spacing w:before="120" w:line="280" w:lineRule="atLeast"/>
              <w:jc w:val="both"/>
              <w:rPr>
                <w:rFonts w:hint="default" w:ascii="Times New Roman" w:hAnsi="Times New Roman" w:cs="Times New Roman"/>
              </w:rPr>
            </w:pPr>
          </w:p>
          <w:p>
            <w:pPr>
              <w:pStyle w:val="88"/>
              <w:spacing w:before="120" w:line="280" w:lineRule="atLeast"/>
              <w:ind w:left="0" w:firstLine="0"/>
              <w:jc w:val="both"/>
              <w:rPr>
                <w:rFonts w:hint="default" w:ascii="Times New Roman" w:hAnsi="Times New Roman" w:cs="Times New Roman"/>
                <w:b/>
                <w:bCs/>
                <w:lang w:val="en-US" w:eastAsia="zh-CN"/>
              </w:rPr>
            </w:pPr>
            <w:r>
              <w:rPr>
                <w:rFonts w:hint="default" w:ascii="Times New Roman" w:hAnsi="Times New Roman" w:cs="Times New Roman"/>
                <w:lang w:val="en-US" w:eastAsia="zh-CN"/>
              </w:rPr>
              <w:t xml:space="preserve">Meanwhile, the following symbols are not available for Msg3 transmission </w:t>
            </w:r>
            <w:r>
              <w:rPr>
                <w:rFonts w:hint="default" w:ascii="Times New Roman" w:hAnsi="Times New Roman" w:cs="Times New Roman"/>
                <w:b/>
                <w:bCs/>
                <w:lang w:val="en-US" w:eastAsia="zh-CN"/>
              </w:rPr>
              <w:t>if SFI is not configured.</w:t>
            </w:r>
          </w:p>
          <w:p>
            <w:pPr>
              <w:numPr>
                <w:ilvl w:val="0"/>
                <w:numId w:val="21"/>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1) Downlink symbols indicated </w:t>
            </w:r>
            <w:r>
              <w:rPr>
                <w:rFonts w:hint="default" w:ascii="Times New Roman" w:hAnsi="Times New Roman" w:cs="Times New Roman"/>
              </w:rPr>
              <w:t xml:space="preserve">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w:t>
            </w:r>
            <w:r>
              <w:rPr>
                <w:rFonts w:hint="default" w:ascii="Times New Roman" w:hAnsi="Times New Roman" w:cs="Times New Roman"/>
                <w:highlight w:val="yellow"/>
              </w:rPr>
              <w:t>or</w:t>
            </w:r>
            <w:r>
              <w:rPr>
                <w:rFonts w:hint="default" w:ascii="Times New Roman" w:hAnsi="Times New Roman" w:cs="Times New Roman"/>
              </w:rPr>
              <w:t xml:space="preserve"> by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hint="default" w:ascii="Times New Roman" w:hAnsi="Times New Roman" w:cs="Times New Roman"/>
                    </w:rPr>
                  </w:pPr>
                  <w:r>
                    <w:rPr>
                      <w:rFonts w:hint="default" w:ascii="Times New Roman" w:hAnsi="Times New Roman" w:cs="Times New Roman"/>
                    </w:rPr>
                    <w:t xml:space="preserve">For a set of symbols of a slot that are indicated to a UE as downlink 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or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rPr>
                    <w:t xml:space="preserve">, the UE does not transmit PUSCH, PUCCH, PRACH, or SRS </w:t>
                  </w:r>
                  <w:r>
                    <w:rPr>
                      <w:rFonts w:hint="default" w:ascii="Times New Roman" w:hAnsi="Times New Roman" w:eastAsia="等线" w:cs="Times New Roman"/>
                    </w:rPr>
                    <w:t>when the PUSCH, PUCCH, PRACH, or SRS overlaps, even partially, with</w:t>
                  </w:r>
                  <w:r>
                    <w:rPr>
                      <w:rFonts w:hint="default" w:ascii="Times New Roman" w:hAnsi="Times New Roman" w:cs="Times New Roman"/>
                    </w:rPr>
                    <w:t xml:space="preserve"> the set of symbols of the slot.</w:t>
                  </w:r>
                </w:p>
                <w:p>
                  <w:pPr>
                    <w:spacing w:before="120" w:line="280" w:lineRule="atLeast"/>
                    <w:jc w:val="both"/>
                    <w:rPr>
                      <w:rFonts w:hint="default" w:ascii="Times New Roman" w:hAnsi="Times New Roman" w:cs="Times New Roman"/>
                      <w:lang w:val="en-US" w:eastAsia="zh-CN"/>
                    </w:rPr>
                  </w:pPr>
                </w:p>
              </w:tc>
            </w:tr>
          </w:tbl>
          <w:p>
            <w:pPr>
              <w:numPr>
                <w:ilvl w:val="0"/>
                <w:numId w:val="21"/>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p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rPr>
                    <w:t xml:space="preserve">For </w:t>
                  </w:r>
                  <w:r>
                    <w:rPr>
                      <w:rFonts w:hint="default" w:ascii="Times New Roman" w:hAnsi="Times New Roman" w:cs="Times New Roman"/>
                      <w:lang w:val="fi-FI"/>
                    </w:rPr>
                    <w:t xml:space="preserve">operation on a single carrier in unpaired spectrum, for </w:t>
                  </w:r>
                  <w:r>
                    <w:rPr>
                      <w:rFonts w:hint="default" w:ascii="Times New Roman" w:hAnsi="Times New Roman" w:cs="Times New Roman"/>
                    </w:rPr>
                    <w:t xml:space="preserve">a set of symbols of a slot indicated to a UE by </w:t>
                  </w:r>
                  <w:r>
                    <w:rPr>
                      <w:rFonts w:hint="default" w:ascii="Times New Roman" w:hAnsi="Times New Roman" w:cs="Times New Roman"/>
                      <w:i/>
                    </w:rPr>
                    <w:t>ssb-PositionsInBurst</w:t>
                  </w:r>
                  <w:r>
                    <w:rPr>
                      <w:rFonts w:hint="default" w:ascii="Times New Roman" w:hAnsi="Times New Roman" w:cs="Times New Roman"/>
                    </w:rPr>
                    <w:t xml:space="preserve"> </w:t>
                  </w:r>
                  <w:r>
                    <w:rPr>
                      <w:rFonts w:hint="default" w:ascii="Times New Roman" w:hAnsi="Times New Roman" w:cs="Times New Roman"/>
                      <w:lang w:val="en-US"/>
                    </w:rPr>
                    <w:t xml:space="preserve">in </w:t>
                  </w:r>
                  <w:r>
                    <w:rPr>
                      <w:rFonts w:hint="default" w:ascii="Times New Roman" w:hAnsi="Times New Roman" w:cs="Times New Roman"/>
                      <w:i/>
                    </w:rPr>
                    <w:t>SIB1</w:t>
                  </w:r>
                  <w:r>
                    <w:rPr>
                      <w:rFonts w:hint="default" w:ascii="Times New Roman" w:hAnsi="Times New Roman" w:cs="Times New Roman"/>
                    </w:rPr>
                    <w:t xml:space="preserve"> or </w:t>
                  </w:r>
                  <w:r>
                    <w:rPr>
                      <w:rFonts w:hint="default" w:ascii="Times New Roman" w:hAnsi="Times New Roman" w:cs="Times New Roman"/>
                      <w:i/>
                    </w:rPr>
                    <w:t>ssb-PositionsInBurst</w:t>
                  </w:r>
                  <w:r>
                    <w:rPr>
                      <w:rFonts w:hint="default" w:ascii="Times New Roman" w:hAnsi="Times New Roman" w:cs="Times New Roman"/>
                    </w:rPr>
                    <w:t xml:space="preserve"> </w:t>
                  </w:r>
                  <w:r>
                    <w:rPr>
                      <w:rFonts w:hint="default" w:ascii="Times New Roman" w:hAnsi="Times New Roman" w:cs="Times New Roman"/>
                      <w:lang w:val="en-US"/>
                    </w:rPr>
                    <w:t xml:space="preserve">in </w:t>
                  </w:r>
                  <w:r>
                    <w:rPr>
                      <w:rFonts w:hint="default" w:ascii="Times New Roman" w:hAnsi="Times New Roman" w:cs="Times New Roman"/>
                      <w:i/>
                    </w:rPr>
                    <w:t>ServingCellConfigCommon</w:t>
                  </w:r>
                  <w:r>
                    <w:rPr>
                      <w:rFonts w:hint="default" w:ascii="Times New Roman" w:hAnsi="Times New Roman" w:cs="Times New Roman"/>
                    </w:rPr>
                    <w:t>, for reception of SS/PBCH blocks, the UE does not transmit PUSCH, PUCCH, PRACH</w:t>
                  </w:r>
                  <w:r>
                    <w:rPr>
                      <w:rFonts w:hint="default" w:ascii="Times New Roman" w:hAnsi="Times New Roman" w:cs="Times New Roman"/>
                      <w:lang w:val="en-US"/>
                    </w:rPr>
                    <w:t xml:space="preserve"> in the slot if a transmission would overlap with any symbol from </w:t>
                  </w:r>
                  <w:r>
                    <w:rPr>
                      <w:rFonts w:hint="default" w:ascii="Times New Roman" w:hAnsi="Times New Roman" w:cs="Times New Roman"/>
                    </w:rPr>
                    <w:t xml:space="preserve">the set of symbols </w:t>
                  </w:r>
                  <w:r>
                    <w:rPr>
                      <w:rFonts w:hint="default" w:ascii="Times New Roman" w:hAnsi="Times New Roman" w:cs="Times New Roman"/>
                      <w:lang w:val="en-US"/>
                    </w:rPr>
                    <w:t>and the UE does not transmit</w:t>
                  </w:r>
                  <w:r>
                    <w:rPr>
                      <w:rFonts w:hint="default" w:ascii="Times New Roman" w:hAnsi="Times New Roman" w:cs="Times New Roman"/>
                    </w:rPr>
                    <w:t xml:space="preserve"> SRS in the set of symbols of the slot.</w:t>
                  </w:r>
                  <w:r>
                    <w:rPr>
                      <w:rFonts w:hint="default" w:ascii="Times New Roman" w:hAnsi="Times New Roman" w:cs="Times New Roman"/>
                      <w:lang w:val="en-US"/>
                    </w:rPr>
                    <w:t xml:space="preserve"> The UE does not expect the set of symbols of the slot to be indicated as uplink by</w:t>
                  </w:r>
                  <w:r>
                    <w:rPr>
                      <w:rFonts w:hint="default" w:ascii="Times New Roman" w:hAnsi="Times New Roman" w:cs="Times New Roman"/>
                    </w:rPr>
                    <w:t xml:space="preserve">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ConfigurationCommon</w:t>
                  </w:r>
                  <w:r>
                    <w:rPr>
                      <w:rFonts w:hint="default" w:ascii="Times New Roman" w:hAnsi="Times New Roman" w:cs="Times New Roman"/>
                      <w:lang w:val="en-US"/>
                    </w:rPr>
                    <w:t xml:space="preserve">, or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rPr>
                    <w:t xml:space="preserve">, </w:t>
                  </w:r>
                  <w:r>
                    <w:rPr>
                      <w:rFonts w:hint="default" w:ascii="Times New Roman" w:hAnsi="Times New Roman" w:cs="Times New Roman"/>
                      <w:lang w:val="en-US"/>
                    </w:rPr>
                    <w:t>when provided to the UE.</w:t>
                  </w:r>
                </w:p>
              </w:tc>
            </w:tr>
          </w:tbl>
          <w:p>
            <w:pPr>
              <w:numPr>
                <w:ilvl w:val="0"/>
                <w:numId w:val="20"/>
              </w:numPr>
              <w:tabs>
                <w:tab w:val="left" w:pos="420"/>
                <w:tab w:val="clear" w:pos="0"/>
              </w:tabs>
              <w:spacing w:before="120" w:line="280" w:lineRule="atLeast"/>
              <w:jc w:val="both"/>
              <w:rPr>
                <w:rFonts w:hint="default" w:ascii="Times New Roman" w:hAnsi="Times New Roman" w:eastAsia="宋体" w:cs="Times New Roman"/>
                <w:u w:val="single"/>
                <w:shd w:val="clear" w:color="auto" w:fill="FFFFFF"/>
                <w:lang w:val="en-US" w:eastAsia="zh-CN"/>
              </w:rPr>
            </w:pPr>
            <w:r>
              <w:rPr>
                <w:rFonts w:hint="default" w:ascii="Times New Roman" w:hAnsi="Times New Roman" w:cs="Times New Roman"/>
                <w:lang w:val="en-US" w:eastAsia="zh-CN"/>
              </w:rPr>
              <w:t xml:space="preserve">Note that, a symbol for </w:t>
            </w:r>
            <w:r>
              <w:rPr>
                <w:rFonts w:hint="default" w:ascii="Times New Roman" w:hAnsi="Times New Roman" w:cs="Times New Roman"/>
              </w:rPr>
              <w:t>a CORESET for Type0-PDCCH CSS set</w:t>
            </w:r>
            <w:r>
              <w:rPr>
                <w:rFonts w:hint="default" w:ascii="Times New Roman" w:hAnsi="Times New Roman" w:cs="Times New Roman"/>
                <w:lang w:val="en-US" w:eastAsia="zh-CN"/>
              </w:rPr>
              <w:t xml:space="preserve"> indicated </w:t>
            </w:r>
            <w:r>
              <w:rPr>
                <w:rFonts w:hint="default" w:ascii="Times New Roman" w:hAnsi="Times New Roman" w:cs="Times New Roman"/>
              </w:rPr>
              <w:t xml:space="preserve">by </w:t>
            </w:r>
            <w:r>
              <w:rPr>
                <w:rFonts w:hint="default" w:ascii="Times New Roman" w:hAnsi="Times New Roman" w:cs="Times New Roman"/>
                <w:i/>
              </w:rPr>
              <w:t>pdcch-ConfigSIB1</w:t>
            </w:r>
            <w:r>
              <w:rPr>
                <w:rFonts w:hint="default" w:ascii="Times New Roman" w:hAnsi="Times New Roman" w:cs="Times New Roman"/>
                <w:lang w:val="en-US"/>
              </w:rPr>
              <w:t xml:space="preserve"> </w:t>
            </w:r>
            <w:r>
              <w:rPr>
                <w:rFonts w:hint="default" w:ascii="Times New Roman" w:hAnsi="Times New Roman" w:eastAsia="MS Mincho" w:cs="Times New Roman"/>
              </w:rPr>
              <w:t xml:space="preserve">in </w:t>
            </w:r>
            <w:r>
              <w:rPr>
                <w:rFonts w:hint="default" w:ascii="Times New Roman" w:hAnsi="Times New Roman" w:cs="Times New Roman"/>
                <w:i/>
                <w:lang w:val="en-US"/>
              </w:rPr>
              <w:t>MIB</w:t>
            </w:r>
            <w:r>
              <w:rPr>
                <w:rFonts w:hint="default" w:ascii="Times New Roman" w:hAnsi="Times New Roman" w:cs="Times New Roman"/>
                <w:lang w:val="en-US"/>
              </w:rPr>
              <w:t xml:space="preserve"> </w:t>
            </w:r>
            <w:r>
              <w:rPr>
                <w:rFonts w:hint="default" w:ascii="Times New Roman" w:hAnsi="Times New Roman" w:cs="Times New Roman"/>
                <w:lang w:val="en-US" w:eastAsia="zh-CN"/>
              </w:rPr>
              <w:t xml:space="preserve">can be indicated as </w:t>
            </w:r>
            <w:r>
              <w:rPr>
                <w:rFonts w:hint="default" w:ascii="Times New Roman" w:hAnsi="Times New Roman" w:cs="Times New Roman"/>
                <w:highlight w:val="yellow"/>
                <w:lang w:val="en-US" w:eastAsia="zh-CN"/>
              </w:rPr>
              <w:t xml:space="preserve">flexible </w:t>
            </w:r>
            <w:r>
              <w:rPr>
                <w:rFonts w:hint="default" w:ascii="Times New Roman" w:hAnsi="Times New Roman" w:cs="Times New Roman"/>
                <w:lang w:val="en-US" w:eastAsia="zh-CN"/>
              </w:rPr>
              <w:t xml:space="preserve">symbol 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ConfigurationCommon</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 xml:space="preserve">and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eastAsia="宋体" w:cs="Times New Roman"/>
                <w:i/>
                <w:lang w:val="en-US" w:eastAsia="zh-CN"/>
              </w:rPr>
              <w:t xml:space="preserve"> </w:t>
            </w:r>
            <w:r>
              <w:rPr>
                <w:rFonts w:hint="default" w:ascii="Times New Roman" w:hAnsi="Times New Roman" w:eastAsia="宋体" w:cs="Times New Roman"/>
                <w:iCs/>
                <w:lang w:val="en-US" w:eastAsia="zh-CN"/>
              </w:rPr>
              <w:t>if provided</w:t>
            </w:r>
            <w:r>
              <w:rPr>
                <w:rFonts w:hint="default" w:ascii="Times New Roman" w:hAnsi="Times New Roman" w:cs="Times New Roman"/>
                <w:lang w:val="en-US" w:eastAsia="zh-CN"/>
              </w:rPr>
              <w:t xml:space="preserve">, which can be used for Msg3 transmission. In other words, as long as it is a flexible symbol indicated </w:t>
            </w:r>
            <w:r>
              <w:rPr>
                <w:rFonts w:hint="default" w:ascii="Times New Roman" w:hAnsi="Times New Roman" w:cs="Times New Roman"/>
              </w:rPr>
              <w:t xml:space="preserve">by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C</w:t>
            </w:r>
            <w:r>
              <w:rPr>
                <w:rFonts w:hint="default" w:ascii="Times New Roman" w:hAnsi="Times New Roman" w:cs="Times New Roman"/>
                <w:i/>
              </w:rPr>
              <w:t>ommon</w:t>
            </w:r>
            <w:r>
              <w:rPr>
                <w:rFonts w:hint="default" w:ascii="Times New Roman" w:hAnsi="Times New Roman" w:cs="Times New Roman"/>
              </w:rPr>
              <w:t xml:space="preserve"> and </w:t>
            </w:r>
            <w:r>
              <w:rPr>
                <w:rFonts w:hint="default" w:ascii="Times New Roman" w:hAnsi="Times New Roman" w:cs="Times New Roman"/>
                <w:i/>
                <w:lang w:val="en-US"/>
              </w:rPr>
              <w:t>tdd</w:t>
            </w:r>
            <w:r>
              <w:rPr>
                <w:rFonts w:hint="default" w:ascii="Times New Roman" w:hAnsi="Times New Roman" w:cs="Times New Roman"/>
                <w:lang w:val="en-US"/>
              </w:rPr>
              <w:t>-</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eastAsia="宋体" w:cs="Times New Roman"/>
                <w:i/>
                <w:lang w:val="en-US" w:eastAsia="zh-CN"/>
              </w:rPr>
              <w:t xml:space="preserve"> </w:t>
            </w:r>
            <w:r>
              <w:rPr>
                <w:rFonts w:hint="default" w:ascii="Times New Roman" w:hAnsi="Times New Roman" w:eastAsia="宋体" w:cs="Times New Roman"/>
                <w:iCs/>
                <w:lang w:val="en-US" w:eastAsia="zh-CN"/>
              </w:rPr>
              <w:t>if provided</w:t>
            </w:r>
            <w:r>
              <w:rPr>
                <w:rFonts w:hint="default" w:ascii="Times New Roman" w:hAnsi="Times New Roman" w:cs="Times New Roman"/>
                <w:i/>
                <w:lang w:val="en-US" w:eastAsia="zh-CN"/>
              </w:rPr>
              <w:t xml:space="preserve">, </w:t>
            </w:r>
            <w:r>
              <w:rPr>
                <w:rFonts w:hint="default" w:ascii="Times New Roman" w:hAnsi="Times New Roman" w:cs="Times New Roman"/>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hint="default" w:ascii="Times New Roman" w:hAnsi="Times New Roman" w:eastAsia="宋体" w:cs="Times New Roman"/>
                      <w:u w:val="single"/>
                      <w:shd w:val="clear" w:color="auto" w:fill="FFFFFF"/>
                      <w:lang w:val="en-US" w:eastAsia="zh-CN"/>
                    </w:rPr>
                  </w:pPr>
                  <w:r>
                    <w:rPr>
                      <w:rFonts w:hint="default" w:ascii="Times New Roman" w:hAnsi="Times New Roman" w:cs="Times New Roman"/>
                    </w:rPr>
                    <w:t xml:space="preserve">For a set of symbols of a slot indicated to a UE by </w:t>
                  </w:r>
                  <w:r>
                    <w:rPr>
                      <w:rFonts w:hint="default" w:ascii="Times New Roman" w:hAnsi="Times New Roman" w:cs="Times New Roman"/>
                      <w:i/>
                    </w:rPr>
                    <w:t>pdcch-ConfigSIB1</w:t>
                  </w:r>
                  <w:r>
                    <w:rPr>
                      <w:rFonts w:hint="default" w:ascii="Times New Roman" w:hAnsi="Times New Roman" w:cs="Times New Roman"/>
                      <w:lang w:val="en-US"/>
                    </w:rPr>
                    <w:t xml:space="preserve"> </w:t>
                  </w:r>
                  <w:r>
                    <w:rPr>
                      <w:rFonts w:hint="default" w:ascii="Times New Roman" w:hAnsi="Times New Roman" w:eastAsia="MS Mincho" w:cs="Times New Roman"/>
                    </w:rPr>
                    <w:t xml:space="preserve">in </w:t>
                  </w:r>
                  <w:r>
                    <w:rPr>
                      <w:rFonts w:hint="default" w:ascii="Times New Roman" w:hAnsi="Times New Roman" w:cs="Times New Roman"/>
                      <w:i/>
                      <w:lang w:val="en-US"/>
                    </w:rPr>
                    <w:t>MIB</w:t>
                  </w:r>
                  <w:r>
                    <w:rPr>
                      <w:rFonts w:hint="default" w:ascii="Times New Roman" w:hAnsi="Times New Roman" w:cs="Times New Roman"/>
                      <w:lang w:val="en-US"/>
                    </w:rPr>
                    <w:t xml:space="preserve"> </w:t>
                  </w:r>
                  <w:r>
                    <w:rPr>
                      <w:rFonts w:hint="default" w:ascii="Times New Roman" w:hAnsi="Times New Roman" w:cs="Times New Roman"/>
                    </w:rPr>
                    <w:t xml:space="preserve">for a CORESET for Type0-PDCCH CSS set, the UE does not expect </w:t>
                  </w:r>
                  <w:r>
                    <w:rPr>
                      <w:rFonts w:hint="default" w:ascii="Times New Roman" w:hAnsi="Times New Roman" w:cs="Times New Roman"/>
                      <w:lang w:val="en-US"/>
                    </w:rPr>
                    <w:t xml:space="preserve">the set of symbols to be indicated as </w:t>
                  </w:r>
                  <w:r>
                    <w:rPr>
                      <w:rFonts w:hint="default" w:ascii="Times New Roman" w:hAnsi="Times New Roman" w:cs="Times New Roman"/>
                      <w:highlight w:val="yellow"/>
                      <w:lang w:val="en-US"/>
                    </w:rPr>
                    <w:t xml:space="preserve">uplink </w:t>
                  </w:r>
                  <w:r>
                    <w:rPr>
                      <w:rFonts w:hint="default" w:ascii="Times New Roman" w:hAnsi="Times New Roman" w:cs="Times New Roman"/>
                      <w:lang w:val="en-US"/>
                    </w:rPr>
                    <w:t>by</w:t>
                  </w:r>
                  <w:r>
                    <w:rPr>
                      <w:rFonts w:hint="default" w:ascii="Times New Roman" w:hAnsi="Times New Roman" w:cs="Times New Roman"/>
                    </w:rPr>
                    <w:t xml:space="preserve">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ConfigurationCommon</w:t>
                  </w:r>
                  <w:r>
                    <w:rPr>
                      <w:rFonts w:hint="default" w:ascii="Times New Roman" w:hAnsi="Times New Roman" w:cs="Times New Roman"/>
                      <w:lang w:val="en-US"/>
                    </w:rPr>
                    <w:t xml:space="preserve">, or </w:t>
                  </w:r>
                  <w:r>
                    <w:rPr>
                      <w:rFonts w:hint="default" w:ascii="Times New Roman" w:hAnsi="Times New Roman" w:cs="Times New Roman"/>
                      <w:i/>
                      <w:lang w:val="en-US"/>
                    </w:rPr>
                    <w:t>tdd-</w:t>
                  </w:r>
                  <w:r>
                    <w:rPr>
                      <w:rFonts w:hint="default" w:ascii="Times New Roman" w:hAnsi="Times New Roman" w:cs="Times New Roman"/>
                      <w:i/>
                    </w:rPr>
                    <w:t>UL-DL-</w:t>
                  </w:r>
                  <w:r>
                    <w:rPr>
                      <w:rFonts w:hint="default" w:ascii="Times New Roman" w:hAnsi="Times New Roman" w:cs="Times New Roman"/>
                      <w:i/>
                      <w:lang w:val="en-US"/>
                    </w:rPr>
                    <w:t>C</w:t>
                  </w:r>
                  <w:r>
                    <w:rPr>
                      <w:rFonts w:hint="default" w:ascii="Times New Roman" w:hAnsi="Times New Roman" w:cs="Times New Roman"/>
                      <w:i/>
                    </w:rPr>
                    <w:t>onfiguration</w:t>
                  </w:r>
                  <w:r>
                    <w:rPr>
                      <w:rFonts w:hint="default" w:ascii="Times New Roman" w:hAnsi="Times New Roman" w:cs="Times New Roman"/>
                      <w:i/>
                      <w:lang w:val="en-US"/>
                    </w:rPr>
                    <w:t>D</w:t>
                  </w:r>
                  <w:r>
                    <w:rPr>
                      <w:rFonts w:hint="default" w:ascii="Times New Roman" w:hAnsi="Times New Roman" w:cs="Times New Roman"/>
                      <w:i/>
                    </w:rPr>
                    <w:t>edicated</w:t>
                  </w:r>
                  <w:r>
                    <w:rPr>
                      <w:rFonts w:hint="default" w:ascii="Times New Roman" w:hAnsi="Times New Roman" w:cs="Times New Roman"/>
                    </w:rPr>
                    <w:t>.</w:t>
                  </w:r>
                </w:p>
              </w:tc>
            </w:tr>
          </w:tbl>
          <w:p>
            <w:pPr>
              <w:tabs>
                <w:tab w:val="left" w:pos="420"/>
              </w:tabs>
              <w:spacing w:before="120" w:line="280" w:lineRule="atLeast"/>
              <w:jc w:val="both"/>
              <w:rPr>
                <w:rFonts w:hint="default" w:ascii="Times New Roman" w:hAnsi="Times New Roman" w:eastAsia="宋体" w:cs="Times New Roman"/>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jc w:val="both"/>
              <w:rPr>
                <w:rFonts w:hint="default" w:ascii="Times New Roman" w:hAnsi="Times New Roman" w:eastAsia="宋体" w:cs="Times New Roman"/>
                <w:u w:val="single"/>
                <w:shd w:val="clear" w:color="auto" w:fill="FFFFFF"/>
                <w:lang w:val="en-US" w:eastAsia="zh-CN"/>
              </w:rPr>
            </w:pPr>
          </w:p>
          <w:p>
            <w:p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If dynamic SFI is configured, </w:t>
            </w:r>
            <w:r>
              <w:rPr>
                <w:rFonts w:hint="default" w:ascii="Times New Roman" w:hAnsi="Times New Roman" w:cs="Times New Roman"/>
                <w:lang w:val="en-US" w:eastAsia="zh-CN"/>
              </w:rPr>
              <w:t xml:space="preserve">the Rel-15/16 legacy UE behavior for collision handling of Msg3 transmission is summarized below. </w:t>
            </w:r>
          </w:p>
          <w:p>
            <w:pPr>
              <w:numPr>
                <w:ilvl w:val="1"/>
                <w:numId w:val="22"/>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If dynamic SFI is configured, a UE does not expect collision between Msg3 transmission and SFI indication.</w:t>
            </w:r>
          </w:p>
          <w:p>
            <w:pPr>
              <w:numPr>
                <w:ilvl w:val="1"/>
                <w:numId w:val="22"/>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If dynamic SFI is configured and the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2_0 is detected by UE, the flexible symbols indicated by the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2_0 are available symbols for Msg3 transmission.</w:t>
            </w:r>
          </w:p>
          <w:p>
            <w:pPr>
              <w:numPr>
                <w:ilvl w:val="1"/>
                <w:numId w:val="22"/>
              </w:num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If dynamic SFI is configured and while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 xml:space="preserve">2_0 is not detected by UE, the flexible symbols indicated </w:t>
            </w:r>
            <w:r>
              <w:rPr>
                <w:rFonts w:hint="default" w:ascii="Times New Roman" w:hAnsi="Times New Roman" w:cs="Times New Roman"/>
              </w:rPr>
              <w:t xml:space="preserve">by </w:t>
            </w:r>
            <w:r>
              <w:rPr>
                <w:rFonts w:hint="default" w:ascii="Times New Roman" w:hAnsi="Times New Roman" w:cs="Times New Roman"/>
                <w:i/>
              </w:rPr>
              <w:t>tdd-</w:t>
            </w:r>
            <w:r>
              <w:rPr>
                <w:rFonts w:hint="default" w:ascii="Times New Roman" w:hAnsi="Times New Roman" w:cs="Times New Roman"/>
                <w:i/>
                <w:lang w:val="en-US"/>
              </w:rPr>
              <w:t>UL-DL-ConfigurationCommon</w:t>
            </w:r>
            <w:r>
              <w:rPr>
                <w:rFonts w:hint="default" w:ascii="Times New Roman" w:hAnsi="Times New Roman" w:cs="Times New Roman"/>
                <w:lang w:val="en-US"/>
              </w:rPr>
              <w:t xml:space="preserve">, and </w:t>
            </w:r>
            <w:r>
              <w:rPr>
                <w:rFonts w:hint="default" w:ascii="Times New Roman" w:hAnsi="Times New Roman" w:cs="Times New Roman"/>
                <w:i/>
                <w:lang w:val="en-US"/>
              </w:rPr>
              <w:t>tdd-UL-DL-ConfigurationDedicated</w:t>
            </w:r>
            <w:r>
              <w:rPr>
                <w:rFonts w:hint="default" w:ascii="Times New Roman" w:hAnsi="Times New Roman" w:eastAsia="等线" w:cs="Times New Roman"/>
                <w:lang w:val="en-US" w:eastAsia="zh-CN"/>
              </w:rPr>
              <w:t xml:space="preserve"> if provided</w:t>
            </w:r>
            <w:r>
              <w:rPr>
                <w:rFonts w:hint="default" w:ascii="Times New Roman" w:hAnsi="Times New Roman" w:cs="Times New Roman"/>
                <w:lang w:val="en-US" w:eastAsia="zh-CN"/>
              </w:rPr>
              <w:t xml:space="preserve"> are available symbols for Msg3 transmission.</w:t>
            </w:r>
          </w:p>
          <w:p>
            <w:pPr>
              <w:spacing w:before="120" w:line="280" w:lineRule="atLeast"/>
              <w:jc w:val="both"/>
              <w:rPr>
                <w:rFonts w:hint="default" w:ascii="Times New Roman" w:hAnsi="Times New Roman" w:cs="Times New Roman"/>
                <w:lang w:val="en-US" w:eastAsia="zh-CN"/>
              </w:rPr>
            </w:pPr>
            <w:r>
              <w:rPr>
                <w:rFonts w:hint="default" w:ascii="Times New Roman" w:hAnsi="Times New Roman" w:cs="Times New Roman"/>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9" w:type="dxa"/>
                </w:tcPr>
                <w:p>
                  <w:pPr>
                    <w:spacing w:before="120" w:line="280" w:lineRule="atLeast"/>
                    <w:jc w:val="both"/>
                    <w:rPr>
                      <w:rFonts w:hint="default" w:ascii="Times New Roman" w:hAnsi="Times New Roman" w:cs="Times New Roman"/>
                      <w:lang w:val="en-US"/>
                    </w:rPr>
                  </w:pPr>
                  <w:r>
                    <w:rPr>
                      <w:rFonts w:hint="default" w:ascii="Times New Roman" w:hAnsi="Times New Roman" w:cs="Times New Roman"/>
                      <w:lang w:val="en-US"/>
                    </w:rPr>
                    <w:t>F</w:t>
                  </w:r>
                  <w:r>
                    <w:rPr>
                      <w:rFonts w:hint="default" w:ascii="Times New Roman" w:hAnsi="Times New Roman" w:cs="Times New Roman"/>
                    </w:rPr>
                    <w:t xml:space="preserve">or a set of symbols </w:t>
                  </w:r>
                  <w:r>
                    <w:rPr>
                      <w:rFonts w:hint="default" w:ascii="Times New Roman" w:hAnsi="Times New Roman" w:cs="Times New Roman"/>
                      <w:lang w:val="en-US"/>
                    </w:rPr>
                    <w:t>of</w:t>
                  </w:r>
                  <w:r>
                    <w:rPr>
                      <w:rFonts w:hint="default" w:ascii="Times New Roman" w:hAnsi="Times New Roman" w:cs="Times New Roman"/>
                    </w:rPr>
                    <w:t xml:space="preserve"> a slot, a UE does not expect to detect a DCI format </w:t>
                  </w:r>
                  <w:r>
                    <w:rPr>
                      <w:rFonts w:hint="default" w:ascii="Times New Roman" w:hAnsi="Times New Roman" w:cs="Times New Roman"/>
                      <w:lang w:val="en-US"/>
                    </w:rPr>
                    <w:t>2_0 with an SFI-index field value</w:t>
                  </w:r>
                  <w:r>
                    <w:rPr>
                      <w:rFonts w:hint="default" w:ascii="Times New Roman" w:hAnsi="Times New Roman" w:cs="Times New Roman"/>
                    </w:rPr>
                    <w:t xml:space="preserve"> indicat</w:t>
                  </w:r>
                  <w:r>
                    <w:rPr>
                      <w:rFonts w:hint="default" w:ascii="Times New Roman" w:hAnsi="Times New Roman" w:cs="Times New Roman"/>
                      <w:lang w:val="en-US"/>
                    </w:rPr>
                    <w:t>ing</w:t>
                  </w:r>
                  <w:r>
                    <w:rPr>
                      <w:rFonts w:hint="default" w:ascii="Times New Roman" w:hAnsi="Times New Roman" w:cs="Times New Roman"/>
                    </w:rPr>
                    <w:t xml:space="preserve"> the set of symbols </w:t>
                  </w:r>
                  <w:r>
                    <w:rPr>
                      <w:rFonts w:hint="default" w:ascii="Times New Roman" w:hAnsi="Times New Roman" w:cs="Times New Roman"/>
                      <w:lang w:val="en-US"/>
                    </w:rPr>
                    <w:t xml:space="preserve">in the slot </w:t>
                  </w:r>
                  <w:r>
                    <w:rPr>
                      <w:rFonts w:hint="default" w:ascii="Times New Roman" w:hAnsi="Times New Roman" w:cs="Times New Roman"/>
                    </w:rPr>
                    <w:t xml:space="preserve">as </w:t>
                  </w:r>
                  <w:r>
                    <w:rPr>
                      <w:rFonts w:hint="default" w:ascii="Times New Roman" w:hAnsi="Times New Roman" w:cs="Times New Roman"/>
                      <w:lang w:val="en-US"/>
                    </w:rPr>
                    <w:t>down</w:t>
                  </w:r>
                  <w:r>
                    <w:rPr>
                      <w:rFonts w:hint="default" w:ascii="Times New Roman" w:hAnsi="Times New Roman" w:cs="Times New Roman"/>
                    </w:rPr>
                    <w:t xml:space="preserve">link and </w:t>
                  </w:r>
                  <w:r>
                    <w:rPr>
                      <w:rFonts w:hint="default" w:ascii="Times New Roman" w:hAnsi="Times New Roman" w:cs="Times New Roman"/>
                      <w:lang w:val="en-US"/>
                    </w:rPr>
                    <w:t xml:space="preserve">to </w:t>
                  </w:r>
                  <w:r>
                    <w:rPr>
                      <w:rFonts w:hint="default" w:ascii="Times New Roman" w:hAnsi="Times New Roman" w:cs="Times New Roman"/>
                    </w:rPr>
                    <w:t xml:space="preserve">detect a DCI format, a RAR UL grant, fallbackRAR UL grant, or successRAR </w:t>
                  </w:r>
                  <w:r>
                    <w:rPr>
                      <w:rFonts w:hint="default" w:ascii="Times New Roman" w:hAnsi="Times New Roman" w:cs="Times New Roman"/>
                      <w:lang w:val="en-US"/>
                    </w:rPr>
                    <w:t>indicating</w:t>
                  </w:r>
                  <w:r>
                    <w:rPr>
                      <w:rFonts w:hint="default" w:ascii="Times New Roman" w:hAnsi="Times New Roman" w:cs="Times New Roman"/>
                    </w:rPr>
                    <w:t xml:space="preserve"> </w:t>
                  </w:r>
                  <w:r>
                    <w:rPr>
                      <w:rFonts w:hint="default" w:ascii="Times New Roman" w:hAnsi="Times New Roman" w:cs="Times New Roman"/>
                      <w:lang w:val="en-US"/>
                    </w:rPr>
                    <w:t>to the UE to transmit</w:t>
                  </w:r>
                  <w:r>
                    <w:rPr>
                      <w:rFonts w:hint="default" w:ascii="Times New Roman" w:hAnsi="Times New Roman" w:cs="Times New Roman"/>
                    </w:rPr>
                    <w:t xml:space="preserve"> </w:t>
                  </w:r>
                  <w:r>
                    <w:rPr>
                      <w:rFonts w:hint="default" w:ascii="Times New Roman" w:hAnsi="Times New Roman" w:cs="Times New Roman"/>
                      <w:lang w:val="en-US"/>
                    </w:rPr>
                    <w:t xml:space="preserve">PUSCH, PUCCH, PRACH, or SRS </w:t>
                  </w:r>
                  <w:r>
                    <w:rPr>
                      <w:rFonts w:hint="default" w:ascii="Times New Roman" w:hAnsi="Times New Roman" w:cs="Times New Roman"/>
                    </w:rPr>
                    <w:t xml:space="preserve">in the set of symbols </w:t>
                  </w:r>
                  <w:r>
                    <w:rPr>
                      <w:rFonts w:hint="default" w:ascii="Times New Roman" w:hAnsi="Times New Roman" w:cs="Times New Roman"/>
                      <w:lang w:val="en-US"/>
                    </w:rPr>
                    <w:t>of</w:t>
                  </w:r>
                  <w:r>
                    <w:rPr>
                      <w:rFonts w:hint="default" w:ascii="Times New Roman" w:hAnsi="Times New Roman" w:cs="Times New Roman"/>
                    </w:rPr>
                    <w:t xml:space="preserve"> </w:t>
                  </w:r>
                  <w:r>
                    <w:rPr>
                      <w:rFonts w:hint="default" w:ascii="Times New Roman" w:hAnsi="Times New Roman" w:cs="Times New Roman"/>
                      <w:lang w:val="en-US"/>
                    </w:rPr>
                    <w:t xml:space="preserve">the </w:t>
                  </w:r>
                  <w:r>
                    <w:rPr>
                      <w:rFonts w:hint="default" w:ascii="Times New Roman" w:hAnsi="Times New Roman" w:cs="Times New Roman"/>
                    </w:rPr>
                    <w:t>slot</w:t>
                  </w:r>
                  <w:r>
                    <w:rPr>
                      <w:rFonts w:hint="default" w:ascii="Times New Roman" w:hAnsi="Times New Roman" w:cs="Times New Roman"/>
                      <w:lang w:val="en-US"/>
                    </w:rPr>
                    <w:t>.</w:t>
                  </w:r>
                  <w:r>
                    <w:rPr>
                      <w:rFonts w:hint="default" w:ascii="Times New Roman" w:hAnsi="Times New Roman" w:cs="Times New Roman"/>
                    </w:rPr>
                    <w:t xml:space="preserve"> </w:t>
                  </w:r>
                </w:p>
                <w:p>
                  <w:pPr>
                    <w:spacing w:before="120" w:line="280" w:lineRule="atLeast"/>
                    <w:jc w:val="both"/>
                    <w:rPr>
                      <w:rFonts w:hint="default" w:ascii="Times New Roman" w:hAnsi="Times New Roman" w:cs="Times New Roman"/>
                      <w:lang w:eastAsia="zh-CN"/>
                    </w:rPr>
                  </w:pPr>
                  <w:r>
                    <w:rPr>
                      <w:rFonts w:hint="default" w:ascii="Times New Roman" w:hAnsi="Times New Roman" w:cs="Times New Roman"/>
                      <w:lang w:val="en-US"/>
                    </w:rPr>
                    <w:t>F</w:t>
                  </w:r>
                  <w:r>
                    <w:rPr>
                      <w:rFonts w:hint="default" w:ascii="Times New Roman" w:hAnsi="Times New Roman" w:cs="Times New Roman"/>
                    </w:rPr>
                    <w:t xml:space="preserve">or a set of symbols </w:t>
                  </w:r>
                  <w:r>
                    <w:rPr>
                      <w:rFonts w:hint="default" w:ascii="Times New Roman" w:hAnsi="Times New Roman" w:cs="Times New Roman"/>
                      <w:lang w:val="en-US"/>
                    </w:rPr>
                    <w:t>of</w:t>
                  </w:r>
                  <w:r>
                    <w:rPr>
                      <w:rFonts w:hint="default" w:ascii="Times New Roman" w:hAnsi="Times New Roman" w:cs="Times New Roman"/>
                    </w:rPr>
                    <w:t xml:space="preserve"> a slot indicated to a UE as </w:t>
                  </w:r>
                  <w:r>
                    <w:rPr>
                      <w:rFonts w:hint="default" w:ascii="Times New Roman" w:hAnsi="Times New Roman" w:cs="Times New Roman"/>
                      <w:lang w:val="en-US"/>
                    </w:rPr>
                    <w:t>flexible</w:t>
                  </w:r>
                  <w:r>
                    <w:rPr>
                      <w:rFonts w:hint="default" w:ascii="Times New Roman" w:hAnsi="Times New Roman" w:cs="Times New Roman"/>
                    </w:rPr>
                    <w:t xml:space="preserve"> by </w:t>
                  </w:r>
                  <w:r>
                    <w:rPr>
                      <w:rFonts w:hint="default" w:ascii="Times New Roman" w:hAnsi="Times New Roman" w:cs="Times New Roman"/>
                      <w:i/>
                    </w:rPr>
                    <w:t>tdd-</w:t>
                  </w:r>
                  <w:r>
                    <w:rPr>
                      <w:rFonts w:hint="default" w:ascii="Times New Roman" w:hAnsi="Times New Roman" w:cs="Times New Roman"/>
                      <w:i/>
                      <w:lang w:val="en-US"/>
                    </w:rPr>
                    <w:t>UL-DL-ConfigurationCommon</w:t>
                  </w:r>
                  <w:r>
                    <w:rPr>
                      <w:rFonts w:hint="default" w:ascii="Times New Roman" w:hAnsi="Times New Roman" w:cs="Times New Roman"/>
                      <w:lang w:val="en-US"/>
                    </w:rPr>
                    <w:t xml:space="preserve"> and </w:t>
                  </w:r>
                  <w:r>
                    <w:rPr>
                      <w:rFonts w:hint="default" w:ascii="Times New Roman" w:hAnsi="Times New Roman" w:cs="Times New Roman"/>
                      <w:i/>
                      <w:lang w:val="en-US"/>
                    </w:rPr>
                    <w:t>tdd-UL-DL-ConfigurationDedicated</w:t>
                  </w:r>
                  <w:r>
                    <w:rPr>
                      <w:rFonts w:hint="default" w:ascii="Times New Roman" w:hAnsi="Times New Roman" w:eastAsia="等线" w:cs="Times New Roman"/>
                      <w:lang w:val="en-US" w:eastAsia="zh-CN"/>
                    </w:rPr>
                    <w:t xml:space="preserve"> if provided</w:t>
                  </w:r>
                  <w:r>
                    <w:rPr>
                      <w:rFonts w:hint="default" w:ascii="Times New Roman" w:hAnsi="Times New Roman" w:cs="Times New Roman"/>
                      <w:lang w:val="en-US"/>
                    </w:rPr>
                    <w:t xml:space="preserve">, or when </w:t>
                  </w:r>
                  <w:r>
                    <w:rPr>
                      <w:rFonts w:hint="default" w:ascii="Times New Roman" w:hAnsi="Times New Roman" w:cs="Times New Roman"/>
                      <w:i/>
                      <w:lang w:val="en-US"/>
                    </w:rPr>
                    <w:t>tdd-UL-DL-ConfigurationCommon</w:t>
                  </w:r>
                  <w:r>
                    <w:rPr>
                      <w:rFonts w:hint="default" w:ascii="Times New Roman" w:hAnsi="Times New Roman" w:cs="Times New Roman"/>
                      <w:lang w:val="en-US"/>
                    </w:rPr>
                    <w:t xml:space="preserve"> and </w:t>
                  </w:r>
                  <w:r>
                    <w:rPr>
                      <w:rFonts w:hint="default" w:ascii="Times New Roman" w:hAnsi="Times New Roman" w:cs="Times New Roman"/>
                      <w:i/>
                      <w:lang w:val="en-US"/>
                    </w:rPr>
                    <w:t>tdd-UL-DL-ConfigurationDedicated</w:t>
                  </w:r>
                  <w:r>
                    <w:rPr>
                      <w:rFonts w:hint="default" w:ascii="Times New Roman" w:hAnsi="Times New Roman" w:cs="Times New Roman"/>
                      <w:lang w:val="en-US"/>
                    </w:rPr>
                    <w:t xml:space="preserve"> are not provided to the UE, and if the UE </w:t>
                  </w:r>
                  <w:r>
                    <w:rPr>
                      <w:rFonts w:hint="default" w:ascii="Times New Roman" w:hAnsi="Times New Roman" w:cs="Times New Roman"/>
                      <w:lang w:eastAsia="zh-CN"/>
                    </w:rPr>
                    <w:t xml:space="preserve">detects </w:t>
                  </w:r>
                  <w:r>
                    <w:rPr>
                      <w:rFonts w:hint="default" w:ascii="Times New Roman" w:hAnsi="Times New Roman" w:cs="Times New Roman"/>
                      <w:lang w:val="en-US" w:eastAsia="zh-CN"/>
                    </w:rPr>
                    <w:t>a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2_0 providing a format for the slot using a slot format value other than 255</w:t>
                  </w:r>
                </w:p>
                <w:p>
                  <w:pPr>
                    <w:pStyle w:val="88"/>
                    <w:spacing w:before="120" w:line="280" w:lineRule="atLeast"/>
                    <w:jc w:val="both"/>
                    <w:rPr>
                      <w:rFonts w:hint="default" w:ascii="Times New Roman" w:hAnsi="Times New Roman" w:eastAsia="宋体" w:cs="Times New Roman"/>
                      <w:lang w:val="en-US" w:eastAsia="zh-CN"/>
                    </w:rPr>
                  </w:pPr>
                  <w:r>
                    <w:rPr>
                      <w:rFonts w:hint="default" w:ascii="Times New Roman" w:hAnsi="Times New Roman" w:cs="Times New Roman"/>
                      <w:lang w:val="en-US"/>
                    </w:rPr>
                    <w:t>-</w:t>
                  </w:r>
                  <w:r>
                    <w:rPr>
                      <w:rFonts w:hint="default" w:ascii="Times New Roman" w:hAnsi="Times New Roman" w:cs="Times New Roman"/>
                      <w:lang w:val="en-US"/>
                    </w:rPr>
                    <w:tab/>
                  </w:r>
                  <w:r>
                    <w:rPr>
                      <w:rFonts w:hint="default" w:ascii="Times New Roman" w:hAnsi="Times New Roman" w:eastAsia="宋体" w:cs="Times New Roman"/>
                      <w:lang w:val="en-US" w:eastAsia="zh-CN"/>
                    </w:rPr>
                    <w:t>...</w:t>
                  </w:r>
                </w:p>
                <w:p>
                  <w:pPr>
                    <w:pStyle w:val="88"/>
                    <w:spacing w:before="120" w:line="280" w:lineRule="atLeast"/>
                    <w:jc w:val="both"/>
                    <w:rPr>
                      <w:rFonts w:hint="default" w:ascii="Times New Roman" w:hAnsi="Times New Roman" w:cs="Times New Roman"/>
                    </w:rPr>
                  </w:pPr>
                  <w:r>
                    <w:rPr>
                      <w:rFonts w:hint="default" w:ascii="Times New Roman" w:hAnsi="Times New Roman" w:cs="Times New Roman"/>
                      <w:lang w:val="en-US"/>
                    </w:rPr>
                    <w:t>-</w:t>
                  </w:r>
                  <w:r>
                    <w:rPr>
                      <w:rFonts w:hint="default" w:ascii="Times New Roman" w:hAnsi="Times New Roman" w:eastAsia="宋体" w:cs="Times New Roman"/>
                      <w:lang w:val="en-US" w:eastAsia="zh-CN"/>
                    </w:rPr>
                    <w:t xml:space="preserve">  </w:t>
                  </w:r>
                  <w:r>
                    <w:rPr>
                      <w:rFonts w:hint="default" w:ascii="Times New Roman" w:hAnsi="Times New Roman" w:cs="Times New Roman"/>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jc w:val="both"/>
                    <w:rPr>
                      <w:rFonts w:hint="default" w:ascii="Times New Roman" w:hAnsi="Times New Roman" w:cs="Times New Roman"/>
                      <w:lang w:val="en-US"/>
                    </w:rPr>
                  </w:pPr>
                  <w:r>
                    <w:rPr>
                      <w:rFonts w:hint="default" w:ascii="Times New Roman" w:hAnsi="Times New Roman" w:cs="Times New Roman"/>
                      <w:lang w:val="en-US"/>
                    </w:rPr>
                    <w:t>-</w:t>
                  </w:r>
                  <w:r>
                    <w:rPr>
                      <w:rFonts w:hint="default" w:ascii="Times New Roman" w:hAnsi="Times New Roman" w:cs="Times New Roman"/>
                      <w:lang w:val="en-US"/>
                    </w:rPr>
                    <w:tab/>
                  </w:r>
                  <w:r>
                    <w:rPr>
                      <w:rFonts w:hint="default" w:ascii="Times New Roman" w:hAnsi="Times New Roman" w:cs="Times New Roman"/>
                      <w:lang w:val="en-US"/>
                    </w:rPr>
                    <w:t>a</w:t>
                  </w:r>
                  <w:r>
                    <w:rPr>
                      <w:rFonts w:hint="default" w:ascii="Times New Roman" w:hAnsi="Times New Roman" w:cs="Times New Roman"/>
                    </w:rPr>
                    <w:t xml:space="preserve"> UE does not expect to dete</w:t>
                  </w:r>
                  <w:r>
                    <w:rPr>
                      <w:rFonts w:hint="default" w:ascii="Times New Roman" w:hAnsi="Times New Roman" w:cs="Times New Roman"/>
                      <w:lang w:val="en-US"/>
                    </w:rPr>
                    <w:t>ct</w:t>
                  </w:r>
                  <w:r>
                    <w:rPr>
                      <w:rFonts w:hint="default" w:ascii="Times New Roman" w:hAnsi="Times New Roman" w:cs="Times New Roman"/>
                    </w:rPr>
                    <w:t xml:space="preserve"> </w:t>
                  </w:r>
                  <w:r>
                    <w:rPr>
                      <w:rFonts w:hint="default" w:ascii="Times New Roman" w:hAnsi="Times New Roman" w:cs="Times New Roman"/>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jc w:val="both"/>
                    <w:rPr>
                      <w:rFonts w:hint="default" w:ascii="Times New Roman" w:hAnsi="Times New Roman" w:eastAsia="宋体" w:cs="Times New Roman"/>
                      <w:i/>
                      <w:iCs/>
                      <w:lang w:val="en-US" w:eastAsia="zh-CN"/>
                    </w:rPr>
                  </w:pPr>
                  <w:r>
                    <w:rPr>
                      <w:rFonts w:hint="default" w:ascii="Times New Roman" w:hAnsi="Times New Roman" w:cs="Times New Roman"/>
                      <w:lang w:val="en-US"/>
                    </w:rPr>
                    <w:t>-</w:t>
                  </w:r>
                  <w:r>
                    <w:rPr>
                      <w:rFonts w:hint="default" w:ascii="Times New Roman" w:hAnsi="Times New Roman" w:cs="Times New Roman"/>
                      <w:lang w:val="en-US"/>
                    </w:rPr>
                    <w:tab/>
                  </w:r>
                  <w:r>
                    <w:rPr>
                      <w:rFonts w:hint="default" w:ascii="Times New Roman" w:hAnsi="Times New Roman" w:eastAsia="宋体" w:cs="Times New Roman"/>
                      <w:lang w:val="en-US" w:eastAsia="zh-CN"/>
                    </w:rPr>
                    <w:t>...</w:t>
                  </w:r>
                </w:p>
                <w:p>
                  <w:pPr>
                    <w:spacing w:before="120" w:line="280" w:lineRule="atLeast"/>
                    <w:jc w:val="both"/>
                    <w:rPr>
                      <w:rFonts w:hint="default" w:ascii="Times New Roman" w:hAnsi="Times New Roman" w:cs="Times New Roman"/>
                      <w:lang w:val="en-US"/>
                    </w:rPr>
                  </w:pPr>
                  <w:r>
                    <w:rPr>
                      <w:rFonts w:hint="default" w:ascii="Times New Roman" w:hAnsi="Times New Roman" w:cs="Times New Roman"/>
                      <w:lang w:val="en-US"/>
                    </w:rPr>
                    <w:t>F</w:t>
                  </w:r>
                  <w:r>
                    <w:rPr>
                      <w:rFonts w:hint="default" w:ascii="Times New Roman" w:hAnsi="Times New Roman" w:cs="Times New Roman"/>
                    </w:rPr>
                    <w:t xml:space="preserve">or a set of symbols </w:t>
                  </w:r>
                  <w:r>
                    <w:rPr>
                      <w:rFonts w:hint="default" w:ascii="Times New Roman" w:hAnsi="Times New Roman" w:cs="Times New Roman"/>
                      <w:lang w:val="en-US"/>
                    </w:rPr>
                    <w:t>of</w:t>
                  </w:r>
                  <w:r>
                    <w:rPr>
                      <w:rFonts w:hint="default" w:ascii="Times New Roman" w:hAnsi="Times New Roman" w:cs="Times New Roman"/>
                    </w:rPr>
                    <w:t xml:space="preserve"> a slot that are indicated as </w:t>
                  </w:r>
                  <w:r>
                    <w:rPr>
                      <w:rFonts w:hint="default" w:ascii="Times New Roman" w:hAnsi="Times New Roman" w:cs="Times New Roman"/>
                      <w:lang w:val="en-US"/>
                    </w:rPr>
                    <w:t>flexible</w:t>
                  </w:r>
                  <w:r>
                    <w:rPr>
                      <w:rFonts w:hint="default" w:ascii="Times New Roman" w:hAnsi="Times New Roman" w:cs="Times New Roman"/>
                    </w:rPr>
                    <w:t xml:space="preserve"> </w:t>
                  </w:r>
                  <w:r>
                    <w:rPr>
                      <w:rFonts w:hint="default" w:ascii="Times New Roman" w:hAnsi="Times New Roman" w:cs="Times New Roman"/>
                      <w:highlight w:val="yellow"/>
                    </w:rPr>
                    <w:t xml:space="preserve">by </w:t>
                  </w:r>
                  <w:r>
                    <w:rPr>
                      <w:rFonts w:hint="default" w:ascii="Times New Roman" w:hAnsi="Times New Roman" w:cs="Times New Roman"/>
                      <w:i/>
                      <w:highlight w:val="yellow"/>
                    </w:rPr>
                    <w:t>tdd-</w:t>
                  </w:r>
                  <w:r>
                    <w:rPr>
                      <w:rFonts w:hint="default" w:ascii="Times New Roman" w:hAnsi="Times New Roman" w:cs="Times New Roman"/>
                      <w:i/>
                      <w:highlight w:val="yellow"/>
                      <w:lang w:val="en-US"/>
                    </w:rPr>
                    <w:t>UL-DL-ConfigurationCommon</w:t>
                  </w:r>
                  <w:r>
                    <w:rPr>
                      <w:rFonts w:hint="default" w:ascii="Times New Roman" w:hAnsi="Times New Roman" w:cs="Times New Roman"/>
                      <w:highlight w:val="yellow"/>
                      <w:lang w:val="en-US"/>
                    </w:rPr>
                    <w:t xml:space="preserve">, and </w:t>
                  </w:r>
                  <w:r>
                    <w:rPr>
                      <w:rFonts w:hint="default" w:ascii="Times New Roman" w:hAnsi="Times New Roman" w:cs="Times New Roman"/>
                      <w:i/>
                      <w:highlight w:val="yellow"/>
                      <w:lang w:val="en-US"/>
                    </w:rPr>
                    <w:t>tdd-UL-DL-ConfigurationDedicated</w:t>
                  </w:r>
                  <w:r>
                    <w:rPr>
                      <w:rFonts w:hint="default" w:ascii="Times New Roman" w:hAnsi="Times New Roman" w:eastAsia="等线" w:cs="Times New Roman"/>
                      <w:highlight w:val="yellow"/>
                      <w:lang w:val="en-US" w:eastAsia="zh-CN"/>
                    </w:rPr>
                    <w:t xml:space="preserve"> if provided</w:t>
                  </w:r>
                  <w:r>
                    <w:rPr>
                      <w:rFonts w:hint="default" w:ascii="Times New Roman" w:hAnsi="Times New Roman" w:cs="Times New Roman"/>
                      <w:lang w:val="en-US"/>
                    </w:rPr>
                    <w:t xml:space="preserve">, or when </w:t>
                  </w:r>
                  <w:r>
                    <w:rPr>
                      <w:rFonts w:hint="default" w:ascii="Times New Roman" w:hAnsi="Times New Roman" w:cs="Times New Roman"/>
                      <w:i/>
                      <w:lang w:val="en-US"/>
                    </w:rPr>
                    <w:t>tdd-UL-DL-ConfigurationCommon</w:t>
                  </w:r>
                  <w:r>
                    <w:rPr>
                      <w:rFonts w:hint="default" w:ascii="Times New Roman" w:hAnsi="Times New Roman" w:cs="Times New Roman"/>
                      <w:lang w:val="en-US"/>
                    </w:rPr>
                    <w:t xml:space="preserve">, and </w:t>
                  </w:r>
                  <w:r>
                    <w:rPr>
                      <w:rFonts w:hint="default" w:ascii="Times New Roman" w:hAnsi="Times New Roman" w:cs="Times New Roman"/>
                      <w:i/>
                      <w:lang w:val="en-US"/>
                    </w:rPr>
                    <w:t>tdd-UL-DL-ConfigurationDedicated</w:t>
                  </w:r>
                  <w:r>
                    <w:rPr>
                      <w:rFonts w:hint="default" w:ascii="Times New Roman" w:hAnsi="Times New Roman" w:cs="Times New Roman"/>
                      <w:lang w:val="en-US"/>
                    </w:rPr>
                    <w:t xml:space="preserve"> are not provided to the UE, and if the UE does not </w:t>
                  </w:r>
                  <w:r>
                    <w:rPr>
                      <w:rFonts w:hint="default" w:ascii="Times New Roman" w:hAnsi="Times New Roman" w:cs="Times New Roman"/>
                      <w:lang w:eastAsia="zh-CN"/>
                    </w:rPr>
                    <w:t xml:space="preserve">detect </w:t>
                  </w:r>
                  <w:r>
                    <w:rPr>
                      <w:rFonts w:hint="default" w:ascii="Times New Roman" w:hAnsi="Times New Roman" w:cs="Times New Roman"/>
                      <w:lang w:val="en-US" w:eastAsia="zh-CN"/>
                    </w:rPr>
                    <w:t>a DCI format</w:t>
                  </w:r>
                  <w:r>
                    <w:rPr>
                      <w:rFonts w:hint="default" w:ascii="Times New Roman" w:hAnsi="Times New Roman" w:cs="Times New Roman"/>
                      <w:lang w:eastAsia="zh-CN"/>
                    </w:rPr>
                    <w:t xml:space="preserve"> </w:t>
                  </w:r>
                  <w:r>
                    <w:rPr>
                      <w:rFonts w:hint="default" w:ascii="Times New Roman" w:hAnsi="Times New Roman" w:cs="Times New Roman"/>
                      <w:lang w:val="en-US" w:eastAsia="zh-CN"/>
                    </w:rPr>
                    <w:t>2_0</w:t>
                  </w:r>
                  <w:r>
                    <w:rPr>
                      <w:rFonts w:hint="default" w:ascii="Times New Roman" w:hAnsi="Times New Roman" w:cs="Times New Roman"/>
                      <w:lang w:val="en-US"/>
                    </w:rPr>
                    <w:t xml:space="preserve"> </w:t>
                  </w:r>
                  <w:r>
                    <w:rPr>
                      <w:rFonts w:hint="default" w:ascii="Times New Roman" w:hAnsi="Times New Roman" w:cs="Times New Roman"/>
                      <w:lang w:val="en-US" w:eastAsia="zh-CN"/>
                    </w:rPr>
                    <w:t>providing a slot format for the slot</w:t>
                  </w:r>
                </w:p>
                <w:p>
                  <w:pPr>
                    <w:pStyle w:val="88"/>
                    <w:spacing w:before="120" w:line="280" w:lineRule="atLeast"/>
                    <w:jc w:val="both"/>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w:t>
                  </w:r>
                  <w:r>
                    <w:rPr>
                      <w:rFonts w:hint="default" w:ascii="Times New Roman" w:hAnsi="Times New Roman" w:cs="Times New Roman"/>
                    </w:rPr>
                    <w:t>he UE receive</w:t>
                  </w:r>
                  <w:r>
                    <w:rPr>
                      <w:rFonts w:hint="default" w:ascii="Times New Roman" w:hAnsi="Times New Roman" w:cs="Times New Roman"/>
                      <w:lang w:val="en-US"/>
                    </w:rPr>
                    <w:t>s</w:t>
                  </w:r>
                  <w:r>
                    <w:rPr>
                      <w:rFonts w:hint="default" w:ascii="Times New Roman" w:hAnsi="Times New Roman" w:cs="Times New Roman"/>
                    </w:rPr>
                    <w:t xml:space="preserve"> PDSCH or CSI-RS in the set of symbols of the slot if the UE receives a corresponding indication by a DCI format</w:t>
                  </w:r>
                </w:p>
                <w:p>
                  <w:pPr>
                    <w:pStyle w:val="88"/>
                    <w:spacing w:before="120" w:line="280" w:lineRule="atLeast"/>
                    <w:jc w:val="both"/>
                    <w:rPr>
                      <w:rFonts w:hint="default" w:ascii="Times New Roman" w:hAnsi="Times New Roman" w:eastAsia="宋体" w:cs="Times New Roman"/>
                      <w:i/>
                      <w:iCs/>
                      <w:lang w:val="en-US" w:eastAsia="zh-C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lang w:val="en-US"/>
                    </w:rPr>
                    <w:t>t</w:t>
                  </w:r>
                  <w:r>
                    <w:rPr>
                      <w:rFonts w:hint="default" w:ascii="Times New Roman" w:hAnsi="Times New Roman" w:cs="Times New Roman"/>
                    </w:rPr>
                    <w:t>he UE transmit</w:t>
                  </w:r>
                  <w:r>
                    <w:rPr>
                      <w:rFonts w:hint="default" w:ascii="Times New Roman" w:hAnsi="Times New Roman" w:cs="Times New Roman"/>
                      <w:lang w:val="en-US"/>
                    </w:rPr>
                    <w:t>s</w:t>
                  </w:r>
                  <w:r>
                    <w:rPr>
                      <w:rFonts w:hint="default" w:ascii="Times New Roman" w:hAnsi="Times New Roman" w:cs="Times New Roman"/>
                    </w:rPr>
                    <w:t xml:space="preserve"> PUSCH, PUCCH, PRACH, or SRS in the set of symbols of the slot if the UE receives a corresponding indication by a DCI format</w:t>
                  </w:r>
                  <w:r>
                    <w:rPr>
                      <w:rFonts w:hint="default" w:ascii="Times New Roman" w:hAnsi="Times New Roman" w:cs="Times New Roman"/>
                      <w:lang w:val="en-US"/>
                    </w:rPr>
                    <w:t>, a RAR UL grant, fallbackRAR UL grant, or successRAR</w:t>
                  </w:r>
                </w:p>
              </w:tc>
            </w:tr>
          </w:tbl>
          <w:p>
            <w:pPr>
              <w:tabs>
                <w:tab w:val="left" w:pos="420"/>
              </w:tabs>
              <w:spacing w:before="120" w:line="280" w:lineRule="atLeast"/>
              <w:jc w:val="both"/>
              <w:rPr>
                <w:rFonts w:hint="default" w:ascii="Times New Roman" w:hAnsi="Times New Roman" w:eastAsia="宋体" w:cs="Times New Roman"/>
                <w:u w:val="single"/>
                <w:shd w:val="clear" w:color="auto" w:fill="FFFFFF"/>
                <w:lang w:val="en-US" w:eastAsia="zh-CN"/>
              </w:rPr>
            </w:pPr>
          </w:p>
        </w:tc>
      </w:tr>
    </w:tbl>
    <w:p>
      <w:pPr>
        <w:rPr>
          <w:highlight w:val="none"/>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917E9A"/>
    <w:multiLevelType w:val="singleLevel"/>
    <w:tmpl w:val="A7917E9A"/>
    <w:lvl w:ilvl="0" w:tentative="0">
      <w:start w:val="1"/>
      <w:numFmt w:val="bullet"/>
      <w:lvlText w:val=""/>
      <w:lvlJc w:val="left"/>
      <w:pPr>
        <w:tabs>
          <w:tab w:val="left" w:pos="420"/>
        </w:tabs>
        <w:ind w:left="840" w:hanging="420"/>
      </w:pPr>
      <w:rPr>
        <w:rFonts w:hint="default" w:ascii="Wingdings" w:hAnsi="Wingdings"/>
      </w:rPr>
    </w:lvl>
  </w:abstractNum>
  <w:abstractNum w:abstractNumId="1">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8">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1">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2">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F487D84"/>
    <w:multiLevelType w:val="multilevel"/>
    <w:tmpl w:val="6F487D84"/>
    <w:lvl w:ilvl="0" w:tentative="0">
      <w:start w:val="0"/>
      <w:numFmt w:val="bullet"/>
      <w:lvlText w:val="-"/>
      <w:lvlJc w:val="left"/>
      <w:pPr>
        <w:ind w:left="720" w:hanging="360"/>
      </w:pPr>
      <w:rPr>
        <w:rFonts w:hint="default" w:ascii="Arial" w:hAnsi="Arial" w:eastAsia="Calibri" w:cs="Arial"/>
        <w:color w:val="000000"/>
        <w:sz w:val="2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2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7"/>
  </w:num>
  <w:num w:numId="3">
    <w:abstractNumId w:val="14"/>
  </w:num>
  <w:num w:numId="4">
    <w:abstractNumId w:val="10"/>
  </w:num>
  <w:num w:numId="5">
    <w:abstractNumId w:val="21"/>
  </w:num>
  <w:num w:numId="6">
    <w:abstractNumId w:val="13"/>
  </w:num>
  <w:num w:numId="7">
    <w:abstractNumId w:val="9"/>
  </w:num>
  <w:num w:numId="8">
    <w:abstractNumId w:val="19"/>
  </w:num>
  <w:num w:numId="9">
    <w:abstractNumId w:val="1"/>
  </w:num>
  <w:num w:numId="10">
    <w:abstractNumId w:val="17"/>
  </w:num>
  <w:num w:numId="11">
    <w:abstractNumId w:val="3"/>
  </w:num>
  <w:num w:numId="12">
    <w:abstractNumId w:val="11"/>
  </w:num>
  <w:num w:numId="13">
    <w:abstractNumId w:val="20"/>
  </w:num>
  <w:num w:numId="14">
    <w:abstractNumId w:val="5"/>
  </w:num>
  <w:num w:numId="15">
    <w:abstractNumId w:val="15"/>
  </w:num>
  <w:num w:numId="16">
    <w:abstractNumId w:val="0"/>
  </w:num>
  <w:num w:numId="17">
    <w:abstractNumId w:val="6"/>
  </w:num>
  <w:num w:numId="18">
    <w:abstractNumId w:val="8"/>
  </w:num>
  <w:num w:numId="19">
    <w:abstractNumId w:val="18"/>
  </w:num>
  <w:num w:numId="20">
    <w:abstractNumId w:val="2"/>
  </w:num>
  <w:num w:numId="21">
    <w:abstractNumId w:val="1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86"/>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1A3"/>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683"/>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DFB"/>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5A4"/>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14A"/>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73A"/>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32B"/>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2E"/>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145"/>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1A"/>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2F0A"/>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3F4"/>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994"/>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1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4E3"/>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AD"/>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82F"/>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0"/>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FE1"/>
    <w:rsid w:val="01142425"/>
    <w:rsid w:val="011E7371"/>
    <w:rsid w:val="012227BC"/>
    <w:rsid w:val="012361AD"/>
    <w:rsid w:val="012840B7"/>
    <w:rsid w:val="01301D77"/>
    <w:rsid w:val="013049EB"/>
    <w:rsid w:val="013A05CA"/>
    <w:rsid w:val="013B3322"/>
    <w:rsid w:val="013E52A0"/>
    <w:rsid w:val="013E6BC5"/>
    <w:rsid w:val="013F7A03"/>
    <w:rsid w:val="015348C8"/>
    <w:rsid w:val="0159158A"/>
    <w:rsid w:val="016402CE"/>
    <w:rsid w:val="016C4B36"/>
    <w:rsid w:val="018C4D19"/>
    <w:rsid w:val="01957A69"/>
    <w:rsid w:val="01C05F33"/>
    <w:rsid w:val="01CF5F5C"/>
    <w:rsid w:val="01D869EF"/>
    <w:rsid w:val="01E97333"/>
    <w:rsid w:val="01EB3A92"/>
    <w:rsid w:val="02090A2F"/>
    <w:rsid w:val="020F7BE6"/>
    <w:rsid w:val="02170941"/>
    <w:rsid w:val="02246831"/>
    <w:rsid w:val="02253F1D"/>
    <w:rsid w:val="022B670C"/>
    <w:rsid w:val="022C15F9"/>
    <w:rsid w:val="025279B3"/>
    <w:rsid w:val="02653BD6"/>
    <w:rsid w:val="02666F90"/>
    <w:rsid w:val="02737E73"/>
    <w:rsid w:val="027A2190"/>
    <w:rsid w:val="027E4A28"/>
    <w:rsid w:val="027F247D"/>
    <w:rsid w:val="02811D65"/>
    <w:rsid w:val="0284643E"/>
    <w:rsid w:val="02901251"/>
    <w:rsid w:val="029173C1"/>
    <w:rsid w:val="029B7F05"/>
    <w:rsid w:val="029E0936"/>
    <w:rsid w:val="02A8530A"/>
    <w:rsid w:val="02A92CF2"/>
    <w:rsid w:val="02B257B6"/>
    <w:rsid w:val="02C22981"/>
    <w:rsid w:val="02C431D1"/>
    <w:rsid w:val="02C46BEC"/>
    <w:rsid w:val="02CC618E"/>
    <w:rsid w:val="02CE2D5F"/>
    <w:rsid w:val="02E51F96"/>
    <w:rsid w:val="02F61C8A"/>
    <w:rsid w:val="02F6673A"/>
    <w:rsid w:val="02F72DA9"/>
    <w:rsid w:val="03023110"/>
    <w:rsid w:val="030336A0"/>
    <w:rsid w:val="0306582A"/>
    <w:rsid w:val="030C0DC5"/>
    <w:rsid w:val="030E55A0"/>
    <w:rsid w:val="031A3229"/>
    <w:rsid w:val="03243765"/>
    <w:rsid w:val="032729F4"/>
    <w:rsid w:val="032E56C4"/>
    <w:rsid w:val="03387A48"/>
    <w:rsid w:val="03524B87"/>
    <w:rsid w:val="03532C3F"/>
    <w:rsid w:val="03556948"/>
    <w:rsid w:val="035F5CF6"/>
    <w:rsid w:val="035F79EB"/>
    <w:rsid w:val="036564BB"/>
    <w:rsid w:val="036A2B26"/>
    <w:rsid w:val="036B3291"/>
    <w:rsid w:val="03703A4A"/>
    <w:rsid w:val="037514BE"/>
    <w:rsid w:val="0378011B"/>
    <w:rsid w:val="03827A63"/>
    <w:rsid w:val="03845729"/>
    <w:rsid w:val="03964D79"/>
    <w:rsid w:val="03A60448"/>
    <w:rsid w:val="03B16607"/>
    <w:rsid w:val="03B25C4C"/>
    <w:rsid w:val="03B923B7"/>
    <w:rsid w:val="03D12146"/>
    <w:rsid w:val="03D24EAD"/>
    <w:rsid w:val="03D263C1"/>
    <w:rsid w:val="03F94E83"/>
    <w:rsid w:val="03FC4856"/>
    <w:rsid w:val="041B389E"/>
    <w:rsid w:val="041C778B"/>
    <w:rsid w:val="04217C18"/>
    <w:rsid w:val="04233067"/>
    <w:rsid w:val="0438275A"/>
    <w:rsid w:val="043F4D1D"/>
    <w:rsid w:val="04415764"/>
    <w:rsid w:val="04417F95"/>
    <w:rsid w:val="04456970"/>
    <w:rsid w:val="04485439"/>
    <w:rsid w:val="044D14FC"/>
    <w:rsid w:val="044E4D45"/>
    <w:rsid w:val="04510B31"/>
    <w:rsid w:val="045508F5"/>
    <w:rsid w:val="047E59D0"/>
    <w:rsid w:val="048B63ED"/>
    <w:rsid w:val="048B7799"/>
    <w:rsid w:val="048D0860"/>
    <w:rsid w:val="048F11FF"/>
    <w:rsid w:val="04993970"/>
    <w:rsid w:val="049A507B"/>
    <w:rsid w:val="04A2712F"/>
    <w:rsid w:val="04AC4CE6"/>
    <w:rsid w:val="04B41901"/>
    <w:rsid w:val="04B72387"/>
    <w:rsid w:val="04D33FC9"/>
    <w:rsid w:val="04E96683"/>
    <w:rsid w:val="04F165EA"/>
    <w:rsid w:val="050403F6"/>
    <w:rsid w:val="0507187D"/>
    <w:rsid w:val="050D4324"/>
    <w:rsid w:val="05290D5A"/>
    <w:rsid w:val="053B6A95"/>
    <w:rsid w:val="05485F7A"/>
    <w:rsid w:val="055D511A"/>
    <w:rsid w:val="055F65D9"/>
    <w:rsid w:val="05786358"/>
    <w:rsid w:val="05790783"/>
    <w:rsid w:val="057E7DAA"/>
    <w:rsid w:val="057F3FBC"/>
    <w:rsid w:val="058B676C"/>
    <w:rsid w:val="05A076FB"/>
    <w:rsid w:val="05AB1DBE"/>
    <w:rsid w:val="05AB21D8"/>
    <w:rsid w:val="05C5106E"/>
    <w:rsid w:val="05D70B9A"/>
    <w:rsid w:val="05DC6DC9"/>
    <w:rsid w:val="05DE13E6"/>
    <w:rsid w:val="06045E70"/>
    <w:rsid w:val="060A4922"/>
    <w:rsid w:val="061D28BA"/>
    <w:rsid w:val="0632014D"/>
    <w:rsid w:val="06332912"/>
    <w:rsid w:val="06360315"/>
    <w:rsid w:val="06421E6E"/>
    <w:rsid w:val="065C6424"/>
    <w:rsid w:val="065D73F1"/>
    <w:rsid w:val="06602D9D"/>
    <w:rsid w:val="066D23C1"/>
    <w:rsid w:val="06751A9F"/>
    <w:rsid w:val="067D4C1C"/>
    <w:rsid w:val="06801D4A"/>
    <w:rsid w:val="069503CF"/>
    <w:rsid w:val="0698430F"/>
    <w:rsid w:val="069D64DB"/>
    <w:rsid w:val="069D7BEE"/>
    <w:rsid w:val="06B127E5"/>
    <w:rsid w:val="06DE7A6A"/>
    <w:rsid w:val="06EB27E8"/>
    <w:rsid w:val="07013841"/>
    <w:rsid w:val="0705530E"/>
    <w:rsid w:val="070E2577"/>
    <w:rsid w:val="072F2729"/>
    <w:rsid w:val="073974D9"/>
    <w:rsid w:val="073C0E5D"/>
    <w:rsid w:val="074F666F"/>
    <w:rsid w:val="075435F4"/>
    <w:rsid w:val="076041D2"/>
    <w:rsid w:val="07722C34"/>
    <w:rsid w:val="077252F2"/>
    <w:rsid w:val="077836CD"/>
    <w:rsid w:val="077E7782"/>
    <w:rsid w:val="07866A1D"/>
    <w:rsid w:val="078F6F15"/>
    <w:rsid w:val="079B1F03"/>
    <w:rsid w:val="07B35775"/>
    <w:rsid w:val="07BC5514"/>
    <w:rsid w:val="07BF2066"/>
    <w:rsid w:val="07BF495A"/>
    <w:rsid w:val="07C21FA9"/>
    <w:rsid w:val="07C4190F"/>
    <w:rsid w:val="07D06D7A"/>
    <w:rsid w:val="07DC615C"/>
    <w:rsid w:val="07DD5AB3"/>
    <w:rsid w:val="07E122DE"/>
    <w:rsid w:val="07E42CE1"/>
    <w:rsid w:val="07ED4CF4"/>
    <w:rsid w:val="07EE7C38"/>
    <w:rsid w:val="07F9718A"/>
    <w:rsid w:val="081135FF"/>
    <w:rsid w:val="08252D8E"/>
    <w:rsid w:val="08346640"/>
    <w:rsid w:val="08362030"/>
    <w:rsid w:val="083B6931"/>
    <w:rsid w:val="083C0245"/>
    <w:rsid w:val="083E6D2C"/>
    <w:rsid w:val="0841066D"/>
    <w:rsid w:val="08476CF8"/>
    <w:rsid w:val="085B444B"/>
    <w:rsid w:val="085C7CA7"/>
    <w:rsid w:val="085E4A4E"/>
    <w:rsid w:val="0885602C"/>
    <w:rsid w:val="08891F5A"/>
    <w:rsid w:val="088936CD"/>
    <w:rsid w:val="08900475"/>
    <w:rsid w:val="08920EC0"/>
    <w:rsid w:val="089A4362"/>
    <w:rsid w:val="089C0A7A"/>
    <w:rsid w:val="08A66D61"/>
    <w:rsid w:val="08A871B9"/>
    <w:rsid w:val="08B2764A"/>
    <w:rsid w:val="08B8749D"/>
    <w:rsid w:val="08BF219B"/>
    <w:rsid w:val="08CE74A0"/>
    <w:rsid w:val="08F525B1"/>
    <w:rsid w:val="09093180"/>
    <w:rsid w:val="09133C1F"/>
    <w:rsid w:val="091B67DF"/>
    <w:rsid w:val="092A0C39"/>
    <w:rsid w:val="093449BD"/>
    <w:rsid w:val="09412CDF"/>
    <w:rsid w:val="0957797D"/>
    <w:rsid w:val="095C1450"/>
    <w:rsid w:val="096B6A5A"/>
    <w:rsid w:val="09705E78"/>
    <w:rsid w:val="0972706B"/>
    <w:rsid w:val="09823A62"/>
    <w:rsid w:val="098518EB"/>
    <w:rsid w:val="09860267"/>
    <w:rsid w:val="098678CD"/>
    <w:rsid w:val="0999293B"/>
    <w:rsid w:val="099E69B2"/>
    <w:rsid w:val="099F1D72"/>
    <w:rsid w:val="09A342F4"/>
    <w:rsid w:val="09C21BB6"/>
    <w:rsid w:val="09C641FA"/>
    <w:rsid w:val="09E8718E"/>
    <w:rsid w:val="09E95BA2"/>
    <w:rsid w:val="09F16553"/>
    <w:rsid w:val="09FA1263"/>
    <w:rsid w:val="0A046E11"/>
    <w:rsid w:val="0A0A47D5"/>
    <w:rsid w:val="0A182CE9"/>
    <w:rsid w:val="0A23784B"/>
    <w:rsid w:val="0A293A5D"/>
    <w:rsid w:val="0A4E5759"/>
    <w:rsid w:val="0A69604A"/>
    <w:rsid w:val="0A6B0B48"/>
    <w:rsid w:val="0A6C783C"/>
    <w:rsid w:val="0A722884"/>
    <w:rsid w:val="0A756253"/>
    <w:rsid w:val="0A7F46EB"/>
    <w:rsid w:val="0A914AD6"/>
    <w:rsid w:val="0A9D5B27"/>
    <w:rsid w:val="0AAA3A15"/>
    <w:rsid w:val="0AAE4E63"/>
    <w:rsid w:val="0AB8189F"/>
    <w:rsid w:val="0AC43EFB"/>
    <w:rsid w:val="0ACB4D16"/>
    <w:rsid w:val="0AD20731"/>
    <w:rsid w:val="0ADE51D8"/>
    <w:rsid w:val="0AE00156"/>
    <w:rsid w:val="0AEB7C4B"/>
    <w:rsid w:val="0AEE12D0"/>
    <w:rsid w:val="0AFC60B7"/>
    <w:rsid w:val="0B0921CC"/>
    <w:rsid w:val="0B262270"/>
    <w:rsid w:val="0B393F3B"/>
    <w:rsid w:val="0B3E3355"/>
    <w:rsid w:val="0B412BE7"/>
    <w:rsid w:val="0B43174E"/>
    <w:rsid w:val="0B4D082C"/>
    <w:rsid w:val="0B525DD6"/>
    <w:rsid w:val="0B591705"/>
    <w:rsid w:val="0B5C0892"/>
    <w:rsid w:val="0B625351"/>
    <w:rsid w:val="0B676AF8"/>
    <w:rsid w:val="0B6F6E61"/>
    <w:rsid w:val="0B704778"/>
    <w:rsid w:val="0B740274"/>
    <w:rsid w:val="0B893873"/>
    <w:rsid w:val="0B8A43E2"/>
    <w:rsid w:val="0B8B1D00"/>
    <w:rsid w:val="0B8F047F"/>
    <w:rsid w:val="0B916915"/>
    <w:rsid w:val="0BA04A29"/>
    <w:rsid w:val="0BAD28F6"/>
    <w:rsid w:val="0BAD56E4"/>
    <w:rsid w:val="0BAD7041"/>
    <w:rsid w:val="0BAE77FD"/>
    <w:rsid w:val="0BBA3661"/>
    <w:rsid w:val="0BBC62D8"/>
    <w:rsid w:val="0BCA01C2"/>
    <w:rsid w:val="0BD40F95"/>
    <w:rsid w:val="0BD5367B"/>
    <w:rsid w:val="0BDC4CB3"/>
    <w:rsid w:val="0BE62676"/>
    <w:rsid w:val="0BE80237"/>
    <w:rsid w:val="0BE94573"/>
    <w:rsid w:val="0BF45E8B"/>
    <w:rsid w:val="0BFB60FA"/>
    <w:rsid w:val="0C122231"/>
    <w:rsid w:val="0C1551CE"/>
    <w:rsid w:val="0C1B4F3E"/>
    <w:rsid w:val="0C1E0E2F"/>
    <w:rsid w:val="0C2B41A4"/>
    <w:rsid w:val="0C2B6E0E"/>
    <w:rsid w:val="0C41011C"/>
    <w:rsid w:val="0C483DB7"/>
    <w:rsid w:val="0C5562D4"/>
    <w:rsid w:val="0C56233F"/>
    <w:rsid w:val="0C6F5654"/>
    <w:rsid w:val="0CAE04A1"/>
    <w:rsid w:val="0CB77457"/>
    <w:rsid w:val="0CCB0BD8"/>
    <w:rsid w:val="0CE16107"/>
    <w:rsid w:val="0CE37C3D"/>
    <w:rsid w:val="0CEB08F7"/>
    <w:rsid w:val="0CED2AC4"/>
    <w:rsid w:val="0CF17FE1"/>
    <w:rsid w:val="0CFA6C4F"/>
    <w:rsid w:val="0CFB6545"/>
    <w:rsid w:val="0CFE0974"/>
    <w:rsid w:val="0D0224EE"/>
    <w:rsid w:val="0D057B3F"/>
    <w:rsid w:val="0D0B15AB"/>
    <w:rsid w:val="0D0B4241"/>
    <w:rsid w:val="0D132BA9"/>
    <w:rsid w:val="0D1D6054"/>
    <w:rsid w:val="0D274F1F"/>
    <w:rsid w:val="0D3F5E92"/>
    <w:rsid w:val="0D4C423F"/>
    <w:rsid w:val="0D623F68"/>
    <w:rsid w:val="0D660AC2"/>
    <w:rsid w:val="0D672BF6"/>
    <w:rsid w:val="0D875B87"/>
    <w:rsid w:val="0D8855B0"/>
    <w:rsid w:val="0DA47121"/>
    <w:rsid w:val="0DB217F9"/>
    <w:rsid w:val="0DC10615"/>
    <w:rsid w:val="0DC64359"/>
    <w:rsid w:val="0DC74AC1"/>
    <w:rsid w:val="0DCE068D"/>
    <w:rsid w:val="0DDC43A1"/>
    <w:rsid w:val="0DDD62E2"/>
    <w:rsid w:val="0DDF462E"/>
    <w:rsid w:val="0DEC4449"/>
    <w:rsid w:val="0DEF4802"/>
    <w:rsid w:val="0DF308A3"/>
    <w:rsid w:val="0E120AD5"/>
    <w:rsid w:val="0E2B22D3"/>
    <w:rsid w:val="0E3123CB"/>
    <w:rsid w:val="0E3738A0"/>
    <w:rsid w:val="0E3754E8"/>
    <w:rsid w:val="0E441EAC"/>
    <w:rsid w:val="0E497F29"/>
    <w:rsid w:val="0E500815"/>
    <w:rsid w:val="0E552497"/>
    <w:rsid w:val="0E7727F1"/>
    <w:rsid w:val="0E795FF2"/>
    <w:rsid w:val="0E7A69CE"/>
    <w:rsid w:val="0E8751D2"/>
    <w:rsid w:val="0E933444"/>
    <w:rsid w:val="0E9432BA"/>
    <w:rsid w:val="0E9A4B90"/>
    <w:rsid w:val="0EA26D03"/>
    <w:rsid w:val="0EA35468"/>
    <w:rsid w:val="0EB06FFE"/>
    <w:rsid w:val="0ED3187F"/>
    <w:rsid w:val="0EDC47DA"/>
    <w:rsid w:val="0EE757C5"/>
    <w:rsid w:val="0EF1788E"/>
    <w:rsid w:val="0EF57D78"/>
    <w:rsid w:val="0EF768CE"/>
    <w:rsid w:val="0F0A50A1"/>
    <w:rsid w:val="0F1D01AC"/>
    <w:rsid w:val="0F1F5448"/>
    <w:rsid w:val="0F255D9C"/>
    <w:rsid w:val="0F2A272E"/>
    <w:rsid w:val="0F3822A0"/>
    <w:rsid w:val="0F3E6F71"/>
    <w:rsid w:val="0F466159"/>
    <w:rsid w:val="0F4813E4"/>
    <w:rsid w:val="0F523012"/>
    <w:rsid w:val="0F5914A5"/>
    <w:rsid w:val="0F5B7697"/>
    <w:rsid w:val="0F5C5D96"/>
    <w:rsid w:val="0F5D39F2"/>
    <w:rsid w:val="0F6040A2"/>
    <w:rsid w:val="0F633EE1"/>
    <w:rsid w:val="0F730F97"/>
    <w:rsid w:val="0F964069"/>
    <w:rsid w:val="0F966380"/>
    <w:rsid w:val="0F973CB6"/>
    <w:rsid w:val="0F9E7E62"/>
    <w:rsid w:val="0FA41EEC"/>
    <w:rsid w:val="0FAA6932"/>
    <w:rsid w:val="0FAB54F1"/>
    <w:rsid w:val="0FC166A9"/>
    <w:rsid w:val="0FC75472"/>
    <w:rsid w:val="0FC817D7"/>
    <w:rsid w:val="0FD75583"/>
    <w:rsid w:val="0FF83BAD"/>
    <w:rsid w:val="0FFC750C"/>
    <w:rsid w:val="0FFE683F"/>
    <w:rsid w:val="0FFF77A8"/>
    <w:rsid w:val="10083B50"/>
    <w:rsid w:val="100D7146"/>
    <w:rsid w:val="10150A41"/>
    <w:rsid w:val="10172842"/>
    <w:rsid w:val="101B366C"/>
    <w:rsid w:val="10271DB4"/>
    <w:rsid w:val="102D15F4"/>
    <w:rsid w:val="103D6CCC"/>
    <w:rsid w:val="10561D33"/>
    <w:rsid w:val="105B328D"/>
    <w:rsid w:val="106D7EF3"/>
    <w:rsid w:val="107F75E5"/>
    <w:rsid w:val="108A043F"/>
    <w:rsid w:val="10A57A17"/>
    <w:rsid w:val="10B10E9D"/>
    <w:rsid w:val="10BE585D"/>
    <w:rsid w:val="10BE60B3"/>
    <w:rsid w:val="10CE07F7"/>
    <w:rsid w:val="10D80AE3"/>
    <w:rsid w:val="10E17410"/>
    <w:rsid w:val="10EB380E"/>
    <w:rsid w:val="10EE5096"/>
    <w:rsid w:val="10EF11E3"/>
    <w:rsid w:val="10F4782B"/>
    <w:rsid w:val="11085831"/>
    <w:rsid w:val="11087971"/>
    <w:rsid w:val="110D6974"/>
    <w:rsid w:val="111214C5"/>
    <w:rsid w:val="111C6B8C"/>
    <w:rsid w:val="112D3CAB"/>
    <w:rsid w:val="11381BCB"/>
    <w:rsid w:val="113A1A58"/>
    <w:rsid w:val="113B60DC"/>
    <w:rsid w:val="113F4766"/>
    <w:rsid w:val="11546F32"/>
    <w:rsid w:val="11551B4C"/>
    <w:rsid w:val="1165204A"/>
    <w:rsid w:val="11653C6F"/>
    <w:rsid w:val="117E25DB"/>
    <w:rsid w:val="119C22B6"/>
    <w:rsid w:val="11AA286E"/>
    <w:rsid w:val="11BD4A0E"/>
    <w:rsid w:val="11C34D99"/>
    <w:rsid w:val="11CC6184"/>
    <w:rsid w:val="11E617F6"/>
    <w:rsid w:val="11EE2ABD"/>
    <w:rsid w:val="11F2126C"/>
    <w:rsid w:val="12232813"/>
    <w:rsid w:val="12323568"/>
    <w:rsid w:val="1257267A"/>
    <w:rsid w:val="125B46F6"/>
    <w:rsid w:val="126521FD"/>
    <w:rsid w:val="12864CDA"/>
    <w:rsid w:val="12A04B08"/>
    <w:rsid w:val="12A472D8"/>
    <w:rsid w:val="12AA0CC2"/>
    <w:rsid w:val="12AF4BF2"/>
    <w:rsid w:val="12B47087"/>
    <w:rsid w:val="12BA5DED"/>
    <w:rsid w:val="12BC1850"/>
    <w:rsid w:val="12D66158"/>
    <w:rsid w:val="12DE4561"/>
    <w:rsid w:val="12E81EED"/>
    <w:rsid w:val="12ED7F8A"/>
    <w:rsid w:val="12F978CF"/>
    <w:rsid w:val="12FE321B"/>
    <w:rsid w:val="1300246B"/>
    <w:rsid w:val="130859B8"/>
    <w:rsid w:val="130E5AB1"/>
    <w:rsid w:val="1311426C"/>
    <w:rsid w:val="1316061F"/>
    <w:rsid w:val="13191C76"/>
    <w:rsid w:val="131E20F5"/>
    <w:rsid w:val="1325790A"/>
    <w:rsid w:val="13262E1C"/>
    <w:rsid w:val="13264242"/>
    <w:rsid w:val="13304916"/>
    <w:rsid w:val="133A1981"/>
    <w:rsid w:val="1343064B"/>
    <w:rsid w:val="134C196B"/>
    <w:rsid w:val="135349F3"/>
    <w:rsid w:val="13542596"/>
    <w:rsid w:val="13615905"/>
    <w:rsid w:val="1380021A"/>
    <w:rsid w:val="13842266"/>
    <w:rsid w:val="139006C7"/>
    <w:rsid w:val="139B24ED"/>
    <w:rsid w:val="13A95613"/>
    <w:rsid w:val="13AE6E14"/>
    <w:rsid w:val="13B11F99"/>
    <w:rsid w:val="13C03F95"/>
    <w:rsid w:val="13C566E7"/>
    <w:rsid w:val="13D05805"/>
    <w:rsid w:val="13DB7026"/>
    <w:rsid w:val="13E37C93"/>
    <w:rsid w:val="13E77207"/>
    <w:rsid w:val="13EA1F24"/>
    <w:rsid w:val="13F04DEF"/>
    <w:rsid w:val="13F95340"/>
    <w:rsid w:val="14054947"/>
    <w:rsid w:val="141F2191"/>
    <w:rsid w:val="142E2BA9"/>
    <w:rsid w:val="143273A6"/>
    <w:rsid w:val="14380455"/>
    <w:rsid w:val="145E5122"/>
    <w:rsid w:val="147E5523"/>
    <w:rsid w:val="14844413"/>
    <w:rsid w:val="14970691"/>
    <w:rsid w:val="149E68E5"/>
    <w:rsid w:val="149E7C40"/>
    <w:rsid w:val="14AF2358"/>
    <w:rsid w:val="14C24737"/>
    <w:rsid w:val="14CC4244"/>
    <w:rsid w:val="14DE6894"/>
    <w:rsid w:val="14DE6F80"/>
    <w:rsid w:val="15182025"/>
    <w:rsid w:val="1518300A"/>
    <w:rsid w:val="151A2518"/>
    <w:rsid w:val="152D2494"/>
    <w:rsid w:val="1535238A"/>
    <w:rsid w:val="1539192D"/>
    <w:rsid w:val="154C0DCF"/>
    <w:rsid w:val="154D1264"/>
    <w:rsid w:val="154F5834"/>
    <w:rsid w:val="15683C99"/>
    <w:rsid w:val="157028B9"/>
    <w:rsid w:val="1575AEB2"/>
    <w:rsid w:val="1577750E"/>
    <w:rsid w:val="1579497C"/>
    <w:rsid w:val="157D4E78"/>
    <w:rsid w:val="15824EE1"/>
    <w:rsid w:val="15885490"/>
    <w:rsid w:val="158C654A"/>
    <w:rsid w:val="15965163"/>
    <w:rsid w:val="159767F2"/>
    <w:rsid w:val="15A74C0B"/>
    <w:rsid w:val="15C0038A"/>
    <w:rsid w:val="15CC20E6"/>
    <w:rsid w:val="15CD4DBD"/>
    <w:rsid w:val="15D04E34"/>
    <w:rsid w:val="15D15929"/>
    <w:rsid w:val="15DF5172"/>
    <w:rsid w:val="15E41777"/>
    <w:rsid w:val="15EE136C"/>
    <w:rsid w:val="16046BE6"/>
    <w:rsid w:val="16062BB8"/>
    <w:rsid w:val="160C4FD4"/>
    <w:rsid w:val="16193163"/>
    <w:rsid w:val="161A2359"/>
    <w:rsid w:val="16215696"/>
    <w:rsid w:val="16294BCB"/>
    <w:rsid w:val="162C0344"/>
    <w:rsid w:val="162D0BE1"/>
    <w:rsid w:val="162E3333"/>
    <w:rsid w:val="16330E11"/>
    <w:rsid w:val="16447B29"/>
    <w:rsid w:val="16491944"/>
    <w:rsid w:val="164F7F6D"/>
    <w:rsid w:val="16560DFB"/>
    <w:rsid w:val="165C3ED7"/>
    <w:rsid w:val="165D61C4"/>
    <w:rsid w:val="165E068A"/>
    <w:rsid w:val="166810DA"/>
    <w:rsid w:val="167F35A4"/>
    <w:rsid w:val="16844D12"/>
    <w:rsid w:val="16893058"/>
    <w:rsid w:val="16A9264F"/>
    <w:rsid w:val="16B02187"/>
    <w:rsid w:val="16C61EFA"/>
    <w:rsid w:val="16EB3F85"/>
    <w:rsid w:val="16F003E9"/>
    <w:rsid w:val="16F46CB6"/>
    <w:rsid w:val="16F52B00"/>
    <w:rsid w:val="16F540EA"/>
    <w:rsid w:val="16F9397F"/>
    <w:rsid w:val="1702D3F2"/>
    <w:rsid w:val="170358BB"/>
    <w:rsid w:val="17054364"/>
    <w:rsid w:val="17082120"/>
    <w:rsid w:val="17214315"/>
    <w:rsid w:val="17257FC3"/>
    <w:rsid w:val="172949C2"/>
    <w:rsid w:val="17352BC7"/>
    <w:rsid w:val="17397C5F"/>
    <w:rsid w:val="173D537C"/>
    <w:rsid w:val="174854AD"/>
    <w:rsid w:val="17496283"/>
    <w:rsid w:val="174D6A64"/>
    <w:rsid w:val="175A11EE"/>
    <w:rsid w:val="175B619C"/>
    <w:rsid w:val="17667212"/>
    <w:rsid w:val="176C4511"/>
    <w:rsid w:val="177024AC"/>
    <w:rsid w:val="17746882"/>
    <w:rsid w:val="17A02394"/>
    <w:rsid w:val="17A17092"/>
    <w:rsid w:val="17BA04F5"/>
    <w:rsid w:val="17D25AA8"/>
    <w:rsid w:val="17D55212"/>
    <w:rsid w:val="17DF534A"/>
    <w:rsid w:val="17E445AD"/>
    <w:rsid w:val="17F06722"/>
    <w:rsid w:val="18063EB7"/>
    <w:rsid w:val="180B054C"/>
    <w:rsid w:val="181B0B92"/>
    <w:rsid w:val="182E5667"/>
    <w:rsid w:val="183A1C23"/>
    <w:rsid w:val="183E5453"/>
    <w:rsid w:val="185725E6"/>
    <w:rsid w:val="185A74CB"/>
    <w:rsid w:val="185D5489"/>
    <w:rsid w:val="186F4205"/>
    <w:rsid w:val="188005E4"/>
    <w:rsid w:val="188D2058"/>
    <w:rsid w:val="18983DB6"/>
    <w:rsid w:val="18B0419C"/>
    <w:rsid w:val="18B93707"/>
    <w:rsid w:val="18BA7603"/>
    <w:rsid w:val="18C93FD3"/>
    <w:rsid w:val="18CD053B"/>
    <w:rsid w:val="18DF4308"/>
    <w:rsid w:val="18E03C4B"/>
    <w:rsid w:val="18F923D2"/>
    <w:rsid w:val="18FA34CF"/>
    <w:rsid w:val="18FC664D"/>
    <w:rsid w:val="18FD3F86"/>
    <w:rsid w:val="190727FC"/>
    <w:rsid w:val="190769D0"/>
    <w:rsid w:val="190E4420"/>
    <w:rsid w:val="191E7534"/>
    <w:rsid w:val="192000D8"/>
    <w:rsid w:val="192B740B"/>
    <w:rsid w:val="193A27A4"/>
    <w:rsid w:val="193F3A6F"/>
    <w:rsid w:val="19481FB4"/>
    <w:rsid w:val="194D1888"/>
    <w:rsid w:val="195D5B11"/>
    <w:rsid w:val="19654572"/>
    <w:rsid w:val="196F12BF"/>
    <w:rsid w:val="197B728B"/>
    <w:rsid w:val="19874BD7"/>
    <w:rsid w:val="19885ECA"/>
    <w:rsid w:val="199312C2"/>
    <w:rsid w:val="19985D58"/>
    <w:rsid w:val="19990307"/>
    <w:rsid w:val="19A66E9E"/>
    <w:rsid w:val="19C16358"/>
    <w:rsid w:val="19CF5864"/>
    <w:rsid w:val="19F83021"/>
    <w:rsid w:val="19FD411D"/>
    <w:rsid w:val="1A032D56"/>
    <w:rsid w:val="1A047870"/>
    <w:rsid w:val="1A0819A7"/>
    <w:rsid w:val="1A12638E"/>
    <w:rsid w:val="1A181FB8"/>
    <w:rsid w:val="1A1C5725"/>
    <w:rsid w:val="1A292523"/>
    <w:rsid w:val="1A2A7B61"/>
    <w:rsid w:val="1A3A348F"/>
    <w:rsid w:val="1A4153D1"/>
    <w:rsid w:val="1A4A3F0A"/>
    <w:rsid w:val="1A511D73"/>
    <w:rsid w:val="1A514204"/>
    <w:rsid w:val="1A5E590E"/>
    <w:rsid w:val="1A6D52BA"/>
    <w:rsid w:val="1A6E7255"/>
    <w:rsid w:val="1A8637C1"/>
    <w:rsid w:val="1A9304E6"/>
    <w:rsid w:val="1A9A5334"/>
    <w:rsid w:val="1AA64E6B"/>
    <w:rsid w:val="1AA74EC3"/>
    <w:rsid w:val="1AB30457"/>
    <w:rsid w:val="1AB975BF"/>
    <w:rsid w:val="1AC47007"/>
    <w:rsid w:val="1AC54812"/>
    <w:rsid w:val="1ADC722A"/>
    <w:rsid w:val="1AE80DCE"/>
    <w:rsid w:val="1AF347EB"/>
    <w:rsid w:val="1AF755F3"/>
    <w:rsid w:val="1AFD5ABB"/>
    <w:rsid w:val="1B0622DE"/>
    <w:rsid w:val="1B2E6DC7"/>
    <w:rsid w:val="1B335CCA"/>
    <w:rsid w:val="1B4232A0"/>
    <w:rsid w:val="1B4D0DA0"/>
    <w:rsid w:val="1B4D6CA8"/>
    <w:rsid w:val="1B5316CE"/>
    <w:rsid w:val="1B54712A"/>
    <w:rsid w:val="1B5E59D2"/>
    <w:rsid w:val="1B676F42"/>
    <w:rsid w:val="1B710511"/>
    <w:rsid w:val="1B7E574D"/>
    <w:rsid w:val="1B80488C"/>
    <w:rsid w:val="1B851BB9"/>
    <w:rsid w:val="1B907786"/>
    <w:rsid w:val="1B9210F0"/>
    <w:rsid w:val="1B9B65A0"/>
    <w:rsid w:val="1B9F7ADA"/>
    <w:rsid w:val="1BA83A0F"/>
    <w:rsid w:val="1BAF344D"/>
    <w:rsid w:val="1BAF66C5"/>
    <w:rsid w:val="1BC0401B"/>
    <w:rsid w:val="1BD10900"/>
    <w:rsid w:val="1BD16953"/>
    <w:rsid w:val="1BDC2DFC"/>
    <w:rsid w:val="1BE4287B"/>
    <w:rsid w:val="1BF842FA"/>
    <w:rsid w:val="1C007D99"/>
    <w:rsid w:val="1C0B30DB"/>
    <w:rsid w:val="1C0E6BEE"/>
    <w:rsid w:val="1C0F5FA8"/>
    <w:rsid w:val="1C152048"/>
    <w:rsid w:val="1C1F18FE"/>
    <w:rsid w:val="1C2168C5"/>
    <w:rsid w:val="1C362BA7"/>
    <w:rsid w:val="1C39727E"/>
    <w:rsid w:val="1C3E61C2"/>
    <w:rsid w:val="1C45564C"/>
    <w:rsid w:val="1C733425"/>
    <w:rsid w:val="1C766428"/>
    <w:rsid w:val="1C777CA8"/>
    <w:rsid w:val="1C7F16CE"/>
    <w:rsid w:val="1C820352"/>
    <w:rsid w:val="1C921230"/>
    <w:rsid w:val="1C934D92"/>
    <w:rsid w:val="1C951541"/>
    <w:rsid w:val="1C975B06"/>
    <w:rsid w:val="1C9D0C61"/>
    <w:rsid w:val="1C9E7BF7"/>
    <w:rsid w:val="1CA47262"/>
    <w:rsid w:val="1CB626A2"/>
    <w:rsid w:val="1CBF3DFD"/>
    <w:rsid w:val="1CC02EEB"/>
    <w:rsid w:val="1CC95D58"/>
    <w:rsid w:val="1CD55E49"/>
    <w:rsid w:val="1CD66773"/>
    <w:rsid w:val="1CDB419E"/>
    <w:rsid w:val="1CE00D0C"/>
    <w:rsid w:val="1CE03327"/>
    <w:rsid w:val="1CE2171C"/>
    <w:rsid w:val="1CE315E7"/>
    <w:rsid w:val="1CEA5D00"/>
    <w:rsid w:val="1CFC034E"/>
    <w:rsid w:val="1D006EEB"/>
    <w:rsid w:val="1D2355A7"/>
    <w:rsid w:val="1D2D60CC"/>
    <w:rsid w:val="1D394458"/>
    <w:rsid w:val="1D444F6F"/>
    <w:rsid w:val="1D465FAC"/>
    <w:rsid w:val="1D48291A"/>
    <w:rsid w:val="1D641DD7"/>
    <w:rsid w:val="1D69224B"/>
    <w:rsid w:val="1D697BCE"/>
    <w:rsid w:val="1D70100B"/>
    <w:rsid w:val="1D7159A9"/>
    <w:rsid w:val="1D833CB2"/>
    <w:rsid w:val="1D8A5B98"/>
    <w:rsid w:val="1D9F20FA"/>
    <w:rsid w:val="1DA131C8"/>
    <w:rsid w:val="1DA21087"/>
    <w:rsid w:val="1DAA1E11"/>
    <w:rsid w:val="1DBB0EBD"/>
    <w:rsid w:val="1DBF4CA2"/>
    <w:rsid w:val="1DD3225C"/>
    <w:rsid w:val="1DD50930"/>
    <w:rsid w:val="1DDE39B2"/>
    <w:rsid w:val="1DE811C7"/>
    <w:rsid w:val="1DF10475"/>
    <w:rsid w:val="1DF30DF6"/>
    <w:rsid w:val="1DF403D6"/>
    <w:rsid w:val="1DF407BB"/>
    <w:rsid w:val="1DF611DF"/>
    <w:rsid w:val="1DFD75F9"/>
    <w:rsid w:val="1E021D58"/>
    <w:rsid w:val="1E0A4FC8"/>
    <w:rsid w:val="1E1F3F49"/>
    <w:rsid w:val="1E38003B"/>
    <w:rsid w:val="1E387FBE"/>
    <w:rsid w:val="1E4F0648"/>
    <w:rsid w:val="1E56296A"/>
    <w:rsid w:val="1E5870B5"/>
    <w:rsid w:val="1E712850"/>
    <w:rsid w:val="1E871C1C"/>
    <w:rsid w:val="1E8F48E2"/>
    <w:rsid w:val="1E961700"/>
    <w:rsid w:val="1E9E2B0C"/>
    <w:rsid w:val="1E9F3031"/>
    <w:rsid w:val="1EA41854"/>
    <w:rsid w:val="1EA814C8"/>
    <w:rsid w:val="1EB815C1"/>
    <w:rsid w:val="1ED83B42"/>
    <w:rsid w:val="1ED967C7"/>
    <w:rsid w:val="1EFA61DF"/>
    <w:rsid w:val="1EFC7D03"/>
    <w:rsid w:val="1F1466D8"/>
    <w:rsid w:val="1F1E5CF4"/>
    <w:rsid w:val="1F2359B2"/>
    <w:rsid w:val="1F2957B4"/>
    <w:rsid w:val="1F391D93"/>
    <w:rsid w:val="1F425461"/>
    <w:rsid w:val="1F440824"/>
    <w:rsid w:val="1F533360"/>
    <w:rsid w:val="1F540FC7"/>
    <w:rsid w:val="1F5815A4"/>
    <w:rsid w:val="1F5933C2"/>
    <w:rsid w:val="1F5D2B5E"/>
    <w:rsid w:val="1F662900"/>
    <w:rsid w:val="1F6A2F08"/>
    <w:rsid w:val="1F701DB1"/>
    <w:rsid w:val="1F7A78D2"/>
    <w:rsid w:val="1F7D71EF"/>
    <w:rsid w:val="1F83552D"/>
    <w:rsid w:val="1F850095"/>
    <w:rsid w:val="1F966685"/>
    <w:rsid w:val="1FAA6F73"/>
    <w:rsid w:val="1FAB03DE"/>
    <w:rsid w:val="1FB60E56"/>
    <w:rsid w:val="1FB669E6"/>
    <w:rsid w:val="1FB91CD0"/>
    <w:rsid w:val="1FC768A2"/>
    <w:rsid w:val="1FD976A2"/>
    <w:rsid w:val="1FE4776E"/>
    <w:rsid w:val="1FE701D4"/>
    <w:rsid w:val="1FE759BD"/>
    <w:rsid w:val="1FEB5923"/>
    <w:rsid w:val="1FF54210"/>
    <w:rsid w:val="200275AB"/>
    <w:rsid w:val="200915A8"/>
    <w:rsid w:val="2013006C"/>
    <w:rsid w:val="2023376E"/>
    <w:rsid w:val="20275F86"/>
    <w:rsid w:val="20321821"/>
    <w:rsid w:val="20337A5B"/>
    <w:rsid w:val="203C3D7B"/>
    <w:rsid w:val="20453674"/>
    <w:rsid w:val="205815D4"/>
    <w:rsid w:val="206476F4"/>
    <w:rsid w:val="20686DDC"/>
    <w:rsid w:val="206E4DE2"/>
    <w:rsid w:val="20724C30"/>
    <w:rsid w:val="20733C7B"/>
    <w:rsid w:val="208505D4"/>
    <w:rsid w:val="2085476B"/>
    <w:rsid w:val="20882727"/>
    <w:rsid w:val="208B319F"/>
    <w:rsid w:val="208E145A"/>
    <w:rsid w:val="20910CB1"/>
    <w:rsid w:val="209472AF"/>
    <w:rsid w:val="20AC2748"/>
    <w:rsid w:val="20BA2550"/>
    <w:rsid w:val="20C32392"/>
    <w:rsid w:val="20CD42FE"/>
    <w:rsid w:val="20D11674"/>
    <w:rsid w:val="20D738C8"/>
    <w:rsid w:val="20DB6B27"/>
    <w:rsid w:val="20DC2559"/>
    <w:rsid w:val="20DC64F0"/>
    <w:rsid w:val="20E65374"/>
    <w:rsid w:val="20E760F6"/>
    <w:rsid w:val="21035A99"/>
    <w:rsid w:val="210C0F6D"/>
    <w:rsid w:val="21282288"/>
    <w:rsid w:val="212965AC"/>
    <w:rsid w:val="212C2086"/>
    <w:rsid w:val="214843B7"/>
    <w:rsid w:val="215E591E"/>
    <w:rsid w:val="218B43EB"/>
    <w:rsid w:val="219575FD"/>
    <w:rsid w:val="21AB7F51"/>
    <w:rsid w:val="21AC1DD3"/>
    <w:rsid w:val="21B15D7D"/>
    <w:rsid w:val="21B60615"/>
    <w:rsid w:val="21C6055D"/>
    <w:rsid w:val="21C6623F"/>
    <w:rsid w:val="21C969C2"/>
    <w:rsid w:val="21CE5C50"/>
    <w:rsid w:val="21FF00E8"/>
    <w:rsid w:val="220A1C4D"/>
    <w:rsid w:val="220C62F2"/>
    <w:rsid w:val="220C6C3A"/>
    <w:rsid w:val="2210366A"/>
    <w:rsid w:val="221D11F2"/>
    <w:rsid w:val="22206503"/>
    <w:rsid w:val="22257BA7"/>
    <w:rsid w:val="222D48CD"/>
    <w:rsid w:val="22371F62"/>
    <w:rsid w:val="22386688"/>
    <w:rsid w:val="223924E2"/>
    <w:rsid w:val="223B1972"/>
    <w:rsid w:val="22402037"/>
    <w:rsid w:val="22457269"/>
    <w:rsid w:val="224C06B3"/>
    <w:rsid w:val="224F6367"/>
    <w:rsid w:val="226322C1"/>
    <w:rsid w:val="2270639A"/>
    <w:rsid w:val="227560B9"/>
    <w:rsid w:val="227B7724"/>
    <w:rsid w:val="227C15DC"/>
    <w:rsid w:val="227C2816"/>
    <w:rsid w:val="228960E9"/>
    <w:rsid w:val="22906A5F"/>
    <w:rsid w:val="2296125E"/>
    <w:rsid w:val="22964115"/>
    <w:rsid w:val="229A46DB"/>
    <w:rsid w:val="229D7E8B"/>
    <w:rsid w:val="22A427C6"/>
    <w:rsid w:val="22A434D6"/>
    <w:rsid w:val="22B344E5"/>
    <w:rsid w:val="22BB3E5D"/>
    <w:rsid w:val="22C22FF5"/>
    <w:rsid w:val="22C911FC"/>
    <w:rsid w:val="22C95E1C"/>
    <w:rsid w:val="22DF429A"/>
    <w:rsid w:val="22E34DE7"/>
    <w:rsid w:val="22F03980"/>
    <w:rsid w:val="22FA3E1F"/>
    <w:rsid w:val="22FB1DE7"/>
    <w:rsid w:val="22FE2795"/>
    <w:rsid w:val="23144E3C"/>
    <w:rsid w:val="231E4B98"/>
    <w:rsid w:val="232D30A1"/>
    <w:rsid w:val="234A07F7"/>
    <w:rsid w:val="235245AF"/>
    <w:rsid w:val="235E5266"/>
    <w:rsid w:val="23675E5A"/>
    <w:rsid w:val="23680C07"/>
    <w:rsid w:val="23692055"/>
    <w:rsid w:val="236959BD"/>
    <w:rsid w:val="236C712E"/>
    <w:rsid w:val="236F647B"/>
    <w:rsid w:val="23842493"/>
    <w:rsid w:val="238446CB"/>
    <w:rsid w:val="238B15F3"/>
    <w:rsid w:val="239E142D"/>
    <w:rsid w:val="23AF0B90"/>
    <w:rsid w:val="23BD1EF4"/>
    <w:rsid w:val="23D221B6"/>
    <w:rsid w:val="23D61A36"/>
    <w:rsid w:val="23D7437F"/>
    <w:rsid w:val="23DE1FFC"/>
    <w:rsid w:val="23E07D06"/>
    <w:rsid w:val="23E45AD1"/>
    <w:rsid w:val="23F72553"/>
    <w:rsid w:val="240611B4"/>
    <w:rsid w:val="240778AE"/>
    <w:rsid w:val="2412672F"/>
    <w:rsid w:val="24190BD8"/>
    <w:rsid w:val="242475E5"/>
    <w:rsid w:val="243A77C7"/>
    <w:rsid w:val="243B3745"/>
    <w:rsid w:val="243D1C45"/>
    <w:rsid w:val="243E1E8C"/>
    <w:rsid w:val="2440034A"/>
    <w:rsid w:val="244435B8"/>
    <w:rsid w:val="245870DE"/>
    <w:rsid w:val="24666861"/>
    <w:rsid w:val="246C7478"/>
    <w:rsid w:val="246E2698"/>
    <w:rsid w:val="247247A7"/>
    <w:rsid w:val="2473146A"/>
    <w:rsid w:val="247A7EB9"/>
    <w:rsid w:val="248A0200"/>
    <w:rsid w:val="24990B16"/>
    <w:rsid w:val="24A26065"/>
    <w:rsid w:val="24A37C12"/>
    <w:rsid w:val="24BD3092"/>
    <w:rsid w:val="24CC0894"/>
    <w:rsid w:val="24D0128B"/>
    <w:rsid w:val="24D20B94"/>
    <w:rsid w:val="24E81F83"/>
    <w:rsid w:val="24EC64B9"/>
    <w:rsid w:val="24F14419"/>
    <w:rsid w:val="24F17C39"/>
    <w:rsid w:val="24FA3F52"/>
    <w:rsid w:val="25084882"/>
    <w:rsid w:val="25150E64"/>
    <w:rsid w:val="2536139C"/>
    <w:rsid w:val="25371B04"/>
    <w:rsid w:val="254A5336"/>
    <w:rsid w:val="2560279C"/>
    <w:rsid w:val="256A5B93"/>
    <w:rsid w:val="257E6FDC"/>
    <w:rsid w:val="25802A3C"/>
    <w:rsid w:val="25823C72"/>
    <w:rsid w:val="25982984"/>
    <w:rsid w:val="259A0EEE"/>
    <w:rsid w:val="259F2686"/>
    <w:rsid w:val="25A407F9"/>
    <w:rsid w:val="25AC3B44"/>
    <w:rsid w:val="25AF5D40"/>
    <w:rsid w:val="25B124FC"/>
    <w:rsid w:val="25BD445E"/>
    <w:rsid w:val="25BF1A11"/>
    <w:rsid w:val="25C2635D"/>
    <w:rsid w:val="25CB42AA"/>
    <w:rsid w:val="25D6245C"/>
    <w:rsid w:val="25D65EC2"/>
    <w:rsid w:val="25DA61F6"/>
    <w:rsid w:val="260951E6"/>
    <w:rsid w:val="26152CC2"/>
    <w:rsid w:val="26166BCB"/>
    <w:rsid w:val="262078D4"/>
    <w:rsid w:val="26230FC6"/>
    <w:rsid w:val="26276462"/>
    <w:rsid w:val="262D4AE2"/>
    <w:rsid w:val="263169CA"/>
    <w:rsid w:val="264D17ED"/>
    <w:rsid w:val="265F436F"/>
    <w:rsid w:val="266A7B14"/>
    <w:rsid w:val="267C010D"/>
    <w:rsid w:val="26803609"/>
    <w:rsid w:val="269F0235"/>
    <w:rsid w:val="26A24EAB"/>
    <w:rsid w:val="26A66E70"/>
    <w:rsid w:val="26AD33C2"/>
    <w:rsid w:val="26B22511"/>
    <w:rsid w:val="26C006B0"/>
    <w:rsid w:val="26D23AB0"/>
    <w:rsid w:val="26E05B24"/>
    <w:rsid w:val="26EE7123"/>
    <w:rsid w:val="26F550A7"/>
    <w:rsid w:val="26F567D6"/>
    <w:rsid w:val="26F60EF2"/>
    <w:rsid w:val="26FF1EED"/>
    <w:rsid w:val="27126FBE"/>
    <w:rsid w:val="272125F3"/>
    <w:rsid w:val="272C1CCE"/>
    <w:rsid w:val="27323917"/>
    <w:rsid w:val="273654EA"/>
    <w:rsid w:val="276734D4"/>
    <w:rsid w:val="27697289"/>
    <w:rsid w:val="27845308"/>
    <w:rsid w:val="27861037"/>
    <w:rsid w:val="27864A32"/>
    <w:rsid w:val="278811C1"/>
    <w:rsid w:val="279152FB"/>
    <w:rsid w:val="27930FA6"/>
    <w:rsid w:val="279B5B94"/>
    <w:rsid w:val="27C30240"/>
    <w:rsid w:val="27C5366D"/>
    <w:rsid w:val="27C86EE4"/>
    <w:rsid w:val="27D04335"/>
    <w:rsid w:val="27DC1652"/>
    <w:rsid w:val="27DD67CA"/>
    <w:rsid w:val="27FB0628"/>
    <w:rsid w:val="27FD1A8E"/>
    <w:rsid w:val="28067268"/>
    <w:rsid w:val="2816072E"/>
    <w:rsid w:val="282926B1"/>
    <w:rsid w:val="282F1BB4"/>
    <w:rsid w:val="283656A8"/>
    <w:rsid w:val="28385BB0"/>
    <w:rsid w:val="28405EF0"/>
    <w:rsid w:val="28560B96"/>
    <w:rsid w:val="285744DC"/>
    <w:rsid w:val="28591C94"/>
    <w:rsid w:val="28690808"/>
    <w:rsid w:val="286C60EA"/>
    <w:rsid w:val="28813E51"/>
    <w:rsid w:val="28826392"/>
    <w:rsid w:val="28AB4124"/>
    <w:rsid w:val="28B07E55"/>
    <w:rsid w:val="28B54AA2"/>
    <w:rsid w:val="28C77C30"/>
    <w:rsid w:val="28CA1A30"/>
    <w:rsid w:val="28E1455A"/>
    <w:rsid w:val="29043C51"/>
    <w:rsid w:val="290864FF"/>
    <w:rsid w:val="29091026"/>
    <w:rsid w:val="290A25B5"/>
    <w:rsid w:val="290C6B91"/>
    <w:rsid w:val="290D04CF"/>
    <w:rsid w:val="290E0F51"/>
    <w:rsid w:val="29126A9D"/>
    <w:rsid w:val="291F26C6"/>
    <w:rsid w:val="29274081"/>
    <w:rsid w:val="29416563"/>
    <w:rsid w:val="2946251E"/>
    <w:rsid w:val="294840EB"/>
    <w:rsid w:val="295A76BB"/>
    <w:rsid w:val="295B236F"/>
    <w:rsid w:val="295D3508"/>
    <w:rsid w:val="29690FF9"/>
    <w:rsid w:val="29700B5B"/>
    <w:rsid w:val="2973204B"/>
    <w:rsid w:val="29732B50"/>
    <w:rsid w:val="297F342E"/>
    <w:rsid w:val="29A07C18"/>
    <w:rsid w:val="29A25A65"/>
    <w:rsid w:val="29B9088A"/>
    <w:rsid w:val="29BA5669"/>
    <w:rsid w:val="29D66555"/>
    <w:rsid w:val="29DF0E65"/>
    <w:rsid w:val="29E246D0"/>
    <w:rsid w:val="29E80DDC"/>
    <w:rsid w:val="29EC1C6D"/>
    <w:rsid w:val="29F44836"/>
    <w:rsid w:val="29F51B7F"/>
    <w:rsid w:val="29F56C22"/>
    <w:rsid w:val="29FC6918"/>
    <w:rsid w:val="2A0F0B23"/>
    <w:rsid w:val="2A1B3405"/>
    <w:rsid w:val="2A22737E"/>
    <w:rsid w:val="2A285F5A"/>
    <w:rsid w:val="2A2F098B"/>
    <w:rsid w:val="2A360A51"/>
    <w:rsid w:val="2A3F4382"/>
    <w:rsid w:val="2A421221"/>
    <w:rsid w:val="2A4A0F6A"/>
    <w:rsid w:val="2A4E5AD9"/>
    <w:rsid w:val="2A502B96"/>
    <w:rsid w:val="2A5C0B34"/>
    <w:rsid w:val="2A71440E"/>
    <w:rsid w:val="2A756AA4"/>
    <w:rsid w:val="2A804165"/>
    <w:rsid w:val="2A893D90"/>
    <w:rsid w:val="2A932738"/>
    <w:rsid w:val="2A9A305C"/>
    <w:rsid w:val="2A9D552B"/>
    <w:rsid w:val="2AA32247"/>
    <w:rsid w:val="2AA8022C"/>
    <w:rsid w:val="2AA90192"/>
    <w:rsid w:val="2AC156FC"/>
    <w:rsid w:val="2AC3505A"/>
    <w:rsid w:val="2ACB1712"/>
    <w:rsid w:val="2AEE2A9D"/>
    <w:rsid w:val="2AFE2B7E"/>
    <w:rsid w:val="2AFE6E30"/>
    <w:rsid w:val="2B0026C4"/>
    <w:rsid w:val="2B021E19"/>
    <w:rsid w:val="2B0220EE"/>
    <w:rsid w:val="2B0A38F2"/>
    <w:rsid w:val="2B1A73FE"/>
    <w:rsid w:val="2B26248E"/>
    <w:rsid w:val="2B295F0F"/>
    <w:rsid w:val="2B2C401A"/>
    <w:rsid w:val="2B3F1C6E"/>
    <w:rsid w:val="2B433574"/>
    <w:rsid w:val="2B486E42"/>
    <w:rsid w:val="2B527EC9"/>
    <w:rsid w:val="2B600349"/>
    <w:rsid w:val="2B631906"/>
    <w:rsid w:val="2B69336A"/>
    <w:rsid w:val="2B694550"/>
    <w:rsid w:val="2B756022"/>
    <w:rsid w:val="2B7E3673"/>
    <w:rsid w:val="2B7E50AA"/>
    <w:rsid w:val="2B8955D4"/>
    <w:rsid w:val="2B9F50BF"/>
    <w:rsid w:val="2BA43F92"/>
    <w:rsid w:val="2BAB798F"/>
    <w:rsid w:val="2BAD2EAA"/>
    <w:rsid w:val="2BB25377"/>
    <w:rsid w:val="2BC03DCC"/>
    <w:rsid w:val="2BCA192B"/>
    <w:rsid w:val="2BDF29BF"/>
    <w:rsid w:val="2BEC62A2"/>
    <w:rsid w:val="2C035525"/>
    <w:rsid w:val="2C04642B"/>
    <w:rsid w:val="2C0E164B"/>
    <w:rsid w:val="2C202AFF"/>
    <w:rsid w:val="2C216059"/>
    <w:rsid w:val="2C3A0289"/>
    <w:rsid w:val="2C4C6793"/>
    <w:rsid w:val="2C5B2011"/>
    <w:rsid w:val="2C6B3B99"/>
    <w:rsid w:val="2C6F3806"/>
    <w:rsid w:val="2C774434"/>
    <w:rsid w:val="2C7C077F"/>
    <w:rsid w:val="2C881CFA"/>
    <w:rsid w:val="2C8B2D41"/>
    <w:rsid w:val="2C91784F"/>
    <w:rsid w:val="2CA31324"/>
    <w:rsid w:val="2CB23183"/>
    <w:rsid w:val="2CCC5D5C"/>
    <w:rsid w:val="2CD16F5F"/>
    <w:rsid w:val="2CDD0441"/>
    <w:rsid w:val="2CDD7D4B"/>
    <w:rsid w:val="2CEA7FEF"/>
    <w:rsid w:val="2CEB24DE"/>
    <w:rsid w:val="2CF00B17"/>
    <w:rsid w:val="2CF04E98"/>
    <w:rsid w:val="2D0240FC"/>
    <w:rsid w:val="2D024785"/>
    <w:rsid w:val="2D025E7B"/>
    <w:rsid w:val="2D083229"/>
    <w:rsid w:val="2D1674CE"/>
    <w:rsid w:val="2D200B2E"/>
    <w:rsid w:val="2D2A6B13"/>
    <w:rsid w:val="2D360C97"/>
    <w:rsid w:val="2D376513"/>
    <w:rsid w:val="2D3F2C8E"/>
    <w:rsid w:val="2D470923"/>
    <w:rsid w:val="2D4B732C"/>
    <w:rsid w:val="2D4F3143"/>
    <w:rsid w:val="2D606883"/>
    <w:rsid w:val="2D6B17D6"/>
    <w:rsid w:val="2D71675E"/>
    <w:rsid w:val="2D751FC3"/>
    <w:rsid w:val="2D762C28"/>
    <w:rsid w:val="2D7F5249"/>
    <w:rsid w:val="2D80148C"/>
    <w:rsid w:val="2D801EBA"/>
    <w:rsid w:val="2DA76722"/>
    <w:rsid w:val="2DB04C1A"/>
    <w:rsid w:val="2DBB2BFF"/>
    <w:rsid w:val="2DC26799"/>
    <w:rsid w:val="2DC36DB6"/>
    <w:rsid w:val="2DC863F1"/>
    <w:rsid w:val="2DDA01A3"/>
    <w:rsid w:val="2DDC57E5"/>
    <w:rsid w:val="2DE93CAD"/>
    <w:rsid w:val="2DFB41DC"/>
    <w:rsid w:val="2E057238"/>
    <w:rsid w:val="2E10796D"/>
    <w:rsid w:val="2E134B44"/>
    <w:rsid w:val="2E296BEE"/>
    <w:rsid w:val="2E2C153C"/>
    <w:rsid w:val="2E2F16B9"/>
    <w:rsid w:val="2E350033"/>
    <w:rsid w:val="2E4A54F1"/>
    <w:rsid w:val="2E4D2F34"/>
    <w:rsid w:val="2E504F8D"/>
    <w:rsid w:val="2E5E765C"/>
    <w:rsid w:val="2E5F4D48"/>
    <w:rsid w:val="2E6413E5"/>
    <w:rsid w:val="2E6D6806"/>
    <w:rsid w:val="2E6E7FCC"/>
    <w:rsid w:val="2E7A6BEB"/>
    <w:rsid w:val="2E875C45"/>
    <w:rsid w:val="2E8E066C"/>
    <w:rsid w:val="2E930D3B"/>
    <w:rsid w:val="2EA258B5"/>
    <w:rsid w:val="2EA26F00"/>
    <w:rsid w:val="2EAF5E7B"/>
    <w:rsid w:val="2EB72406"/>
    <w:rsid w:val="2EC308F5"/>
    <w:rsid w:val="2ECF22F7"/>
    <w:rsid w:val="2F0D6201"/>
    <w:rsid w:val="2F162AE7"/>
    <w:rsid w:val="2F182B66"/>
    <w:rsid w:val="2F191F9A"/>
    <w:rsid w:val="2F235ED5"/>
    <w:rsid w:val="2F2367DE"/>
    <w:rsid w:val="2F3869FC"/>
    <w:rsid w:val="2F462065"/>
    <w:rsid w:val="2F506F48"/>
    <w:rsid w:val="2F5E0685"/>
    <w:rsid w:val="2FB403C2"/>
    <w:rsid w:val="2FC222EF"/>
    <w:rsid w:val="2FC566F7"/>
    <w:rsid w:val="2FD27D5B"/>
    <w:rsid w:val="2FDF41BB"/>
    <w:rsid w:val="2FDF7C35"/>
    <w:rsid w:val="2FE65B81"/>
    <w:rsid w:val="2FEC6511"/>
    <w:rsid w:val="2FF21290"/>
    <w:rsid w:val="2FF6579D"/>
    <w:rsid w:val="2FF91044"/>
    <w:rsid w:val="301D45FB"/>
    <w:rsid w:val="30394B19"/>
    <w:rsid w:val="3044350A"/>
    <w:rsid w:val="304960AA"/>
    <w:rsid w:val="30550A69"/>
    <w:rsid w:val="305B0F66"/>
    <w:rsid w:val="306B1D49"/>
    <w:rsid w:val="306E74D6"/>
    <w:rsid w:val="30790741"/>
    <w:rsid w:val="30801B4A"/>
    <w:rsid w:val="30851346"/>
    <w:rsid w:val="30905359"/>
    <w:rsid w:val="309D6AE8"/>
    <w:rsid w:val="309E7BA0"/>
    <w:rsid w:val="30A67B97"/>
    <w:rsid w:val="30BF0947"/>
    <w:rsid w:val="30EB6FC4"/>
    <w:rsid w:val="30F12A17"/>
    <w:rsid w:val="30F61978"/>
    <w:rsid w:val="30F87666"/>
    <w:rsid w:val="30FB19DC"/>
    <w:rsid w:val="3107240D"/>
    <w:rsid w:val="31200F46"/>
    <w:rsid w:val="3121630F"/>
    <w:rsid w:val="31272421"/>
    <w:rsid w:val="314365CE"/>
    <w:rsid w:val="314831A3"/>
    <w:rsid w:val="314B15D3"/>
    <w:rsid w:val="31531424"/>
    <w:rsid w:val="31542D3B"/>
    <w:rsid w:val="315503A1"/>
    <w:rsid w:val="315B4FDE"/>
    <w:rsid w:val="315B5130"/>
    <w:rsid w:val="315E3DF0"/>
    <w:rsid w:val="3166748C"/>
    <w:rsid w:val="316720A7"/>
    <w:rsid w:val="316F5618"/>
    <w:rsid w:val="31774A03"/>
    <w:rsid w:val="317D64E8"/>
    <w:rsid w:val="31833746"/>
    <w:rsid w:val="318E7208"/>
    <w:rsid w:val="31900E67"/>
    <w:rsid w:val="319D0D8A"/>
    <w:rsid w:val="31B31F86"/>
    <w:rsid w:val="31E762D0"/>
    <w:rsid w:val="31EE0C0B"/>
    <w:rsid w:val="32013730"/>
    <w:rsid w:val="320A25D7"/>
    <w:rsid w:val="32184153"/>
    <w:rsid w:val="321A3EA9"/>
    <w:rsid w:val="32213F08"/>
    <w:rsid w:val="32303C08"/>
    <w:rsid w:val="3232325E"/>
    <w:rsid w:val="324516C9"/>
    <w:rsid w:val="324568C8"/>
    <w:rsid w:val="324F2751"/>
    <w:rsid w:val="325E062A"/>
    <w:rsid w:val="326C7F04"/>
    <w:rsid w:val="326F620E"/>
    <w:rsid w:val="32727037"/>
    <w:rsid w:val="327A6DD0"/>
    <w:rsid w:val="32832752"/>
    <w:rsid w:val="32932EB7"/>
    <w:rsid w:val="32AD2427"/>
    <w:rsid w:val="32AF0809"/>
    <w:rsid w:val="32BB399E"/>
    <w:rsid w:val="32BF5088"/>
    <w:rsid w:val="32FB2816"/>
    <w:rsid w:val="32FE23BF"/>
    <w:rsid w:val="3305457E"/>
    <w:rsid w:val="330E6893"/>
    <w:rsid w:val="331847F5"/>
    <w:rsid w:val="33216186"/>
    <w:rsid w:val="33244DA0"/>
    <w:rsid w:val="333767D0"/>
    <w:rsid w:val="333A2D5F"/>
    <w:rsid w:val="33440DD7"/>
    <w:rsid w:val="335A4695"/>
    <w:rsid w:val="335C6744"/>
    <w:rsid w:val="33663E5D"/>
    <w:rsid w:val="336B3089"/>
    <w:rsid w:val="33722AAC"/>
    <w:rsid w:val="337326FC"/>
    <w:rsid w:val="33735448"/>
    <w:rsid w:val="337E2043"/>
    <w:rsid w:val="337F2579"/>
    <w:rsid w:val="339E1EF0"/>
    <w:rsid w:val="33BE08E5"/>
    <w:rsid w:val="33C43BAB"/>
    <w:rsid w:val="33D0516E"/>
    <w:rsid w:val="33D737A8"/>
    <w:rsid w:val="33DE0CB9"/>
    <w:rsid w:val="33E115FD"/>
    <w:rsid w:val="33EC1A91"/>
    <w:rsid w:val="33EE3105"/>
    <w:rsid w:val="33EF314F"/>
    <w:rsid w:val="33FA2731"/>
    <w:rsid w:val="33FD7010"/>
    <w:rsid w:val="34032F5B"/>
    <w:rsid w:val="34035768"/>
    <w:rsid w:val="34054E1D"/>
    <w:rsid w:val="34111BB1"/>
    <w:rsid w:val="341461FF"/>
    <w:rsid w:val="342259B2"/>
    <w:rsid w:val="344A5FD4"/>
    <w:rsid w:val="344D5785"/>
    <w:rsid w:val="344F7A97"/>
    <w:rsid w:val="346061FA"/>
    <w:rsid w:val="3467417E"/>
    <w:rsid w:val="34680CAF"/>
    <w:rsid w:val="346A186D"/>
    <w:rsid w:val="347C15A5"/>
    <w:rsid w:val="3488479F"/>
    <w:rsid w:val="348A0CA6"/>
    <w:rsid w:val="348F065E"/>
    <w:rsid w:val="349207B0"/>
    <w:rsid w:val="34A276BD"/>
    <w:rsid w:val="34A43F41"/>
    <w:rsid w:val="34AB7E73"/>
    <w:rsid w:val="34AC3078"/>
    <w:rsid w:val="34B077CC"/>
    <w:rsid w:val="34B64DFE"/>
    <w:rsid w:val="34C473D5"/>
    <w:rsid w:val="34C84C17"/>
    <w:rsid w:val="34CC2CE0"/>
    <w:rsid w:val="34E42D93"/>
    <w:rsid w:val="350A4715"/>
    <w:rsid w:val="3511129D"/>
    <w:rsid w:val="35222D50"/>
    <w:rsid w:val="353903E5"/>
    <w:rsid w:val="353F57B2"/>
    <w:rsid w:val="35422FF9"/>
    <w:rsid w:val="35651C74"/>
    <w:rsid w:val="35684438"/>
    <w:rsid w:val="35742CCA"/>
    <w:rsid w:val="357A01D1"/>
    <w:rsid w:val="3584131C"/>
    <w:rsid w:val="35842D46"/>
    <w:rsid w:val="35917E31"/>
    <w:rsid w:val="359455FE"/>
    <w:rsid w:val="35961EE8"/>
    <w:rsid w:val="35AD2562"/>
    <w:rsid w:val="35AD61B7"/>
    <w:rsid w:val="35AE319E"/>
    <w:rsid w:val="35B87C80"/>
    <w:rsid w:val="35B917AA"/>
    <w:rsid w:val="35D14E02"/>
    <w:rsid w:val="35D21490"/>
    <w:rsid w:val="35D37C35"/>
    <w:rsid w:val="35DD1C61"/>
    <w:rsid w:val="35E37771"/>
    <w:rsid w:val="35E478FA"/>
    <w:rsid w:val="35FB2CBD"/>
    <w:rsid w:val="35FD6A03"/>
    <w:rsid w:val="36091FD3"/>
    <w:rsid w:val="36136D75"/>
    <w:rsid w:val="36166281"/>
    <w:rsid w:val="36306AE5"/>
    <w:rsid w:val="36366DB7"/>
    <w:rsid w:val="36417212"/>
    <w:rsid w:val="36562148"/>
    <w:rsid w:val="36656AEF"/>
    <w:rsid w:val="36693C14"/>
    <w:rsid w:val="366D4914"/>
    <w:rsid w:val="367D59B9"/>
    <w:rsid w:val="36820DE0"/>
    <w:rsid w:val="369B02D7"/>
    <w:rsid w:val="369C11A5"/>
    <w:rsid w:val="36B43102"/>
    <w:rsid w:val="36B51D58"/>
    <w:rsid w:val="36CD07B0"/>
    <w:rsid w:val="36CF2E22"/>
    <w:rsid w:val="36CF7AE3"/>
    <w:rsid w:val="36D97DA4"/>
    <w:rsid w:val="36DD24D7"/>
    <w:rsid w:val="370259C6"/>
    <w:rsid w:val="371C47DC"/>
    <w:rsid w:val="372201DB"/>
    <w:rsid w:val="3727051C"/>
    <w:rsid w:val="3729297D"/>
    <w:rsid w:val="373242C4"/>
    <w:rsid w:val="37340EF6"/>
    <w:rsid w:val="373E20CB"/>
    <w:rsid w:val="374125E6"/>
    <w:rsid w:val="374C4A1E"/>
    <w:rsid w:val="375C57D7"/>
    <w:rsid w:val="37746FF2"/>
    <w:rsid w:val="377677D5"/>
    <w:rsid w:val="3789690E"/>
    <w:rsid w:val="37902E7E"/>
    <w:rsid w:val="37903F9F"/>
    <w:rsid w:val="379C3788"/>
    <w:rsid w:val="379C7BB1"/>
    <w:rsid w:val="37A7100D"/>
    <w:rsid w:val="37A71725"/>
    <w:rsid w:val="37BD6EED"/>
    <w:rsid w:val="37C021B2"/>
    <w:rsid w:val="37C1041D"/>
    <w:rsid w:val="37CF762D"/>
    <w:rsid w:val="37D3199B"/>
    <w:rsid w:val="37DD651E"/>
    <w:rsid w:val="37E5211B"/>
    <w:rsid w:val="37E61EE0"/>
    <w:rsid w:val="37EB7EB8"/>
    <w:rsid w:val="38032792"/>
    <w:rsid w:val="38154172"/>
    <w:rsid w:val="381A51F4"/>
    <w:rsid w:val="381B6955"/>
    <w:rsid w:val="381E5416"/>
    <w:rsid w:val="381F23D6"/>
    <w:rsid w:val="3827711E"/>
    <w:rsid w:val="382775B6"/>
    <w:rsid w:val="382A6C05"/>
    <w:rsid w:val="38346D96"/>
    <w:rsid w:val="38583691"/>
    <w:rsid w:val="386C5C36"/>
    <w:rsid w:val="38856A9F"/>
    <w:rsid w:val="38872242"/>
    <w:rsid w:val="38874B8B"/>
    <w:rsid w:val="38A135C8"/>
    <w:rsid w:val="38AA4BCF"/>
    <w:rsid w:val="38BA113F"/>
    <w:rsid w:val="38C53249"/>
    <w:rsid w:val="38E34FE2"/>
    <w:rsid w:val="38E45213"/>
    <w:rsid w:val="38F95988"/>
    <w:rsid w:val="39034EB5"/>
    <w:rsid w:val="391164BA"/>
    <w:rsid w:val="391732E6"/>
    <w:rsid w:val="39362F4F"/>
    <w:rsid w:val="393665B8"/>
    <w:rsid w:val="393817CF"/>
    <w:rsid w:val="39460A34"/>
    <w:rsid w:val="39472D9C"/>
    <w:rsid w:val="39507A0E"/>
    <w:rsid w:val="397347DF"/>
    <w:rsid w:val="397412F8"/>
    <w:rsid w:val="399D13D8"/>
    <w:rsid w:val="39BB105A"/>
    <w:rsid w:val="39C43B42"/>
    <w:rsid w:val="39E93CE1"/>
    <w:rsid w:val="39ED0B9E"/>
    <w:rsid w:val="3A0D03DF"/>
    <w:rsid w:val="3A135075"/>
    <w:rsid w:val="3A1D1E35"/>
    <w:rsid w:val="3A230406"/>
    <w:rsid w:val="3A45374D"/>
    <w:rsid w:val="3A4B33BF"/>
    <w:rsid w:val="3A7069EE"/>
    <w:rsid w:val="3A72291B"/>
    <w:rsid w:val="3A732C9F"/>
    <w:rsid w:val="3A7A7CD1"/>
    <w:rsid w:val="3A810F56"/>
    <w:rsid w:val="3A8424B5"/>
    <w:rsid w:val="3A8B29D6"/>
    <w:rsid w:val="3A985B18"/>
    <w:rsid w:val="3A9A43F1"/>
    <w:rsid w:val="3AA12DFF"/>
    <w:rsid w:val="3AAF7A71"/>
    <w:rsid w:val="3AB31D0C"/>
    <w:rsid w:val="3AB9339F"/>
    <w:rsid w:val="3AC005A9"/>
    <w:rsid w:val="3AC51CBC"/>
    <w:rsid w:val="3AC535FF"/>
    <w:rsid w:val="3AC8577E"/>
    <w:rsid w:val="3ACA080D"/>
    <w:rsid w:val="3AD8114E"/>
    <w:rsid w:val="3AE01CE4"/>
    <w:rsid w:val="3AE508FD"/>
    <w:rsid w:val="3AE71DDB"/>
    <w:rsid w:val="3AEC6515"/>
    <w:rsid w:val="3AEF1727"/>
    <w:rsid w:val="3AF0173E"/>
    <w:rsid w:val="3AF332F9"/>
    <w:rsid w:val="3B026B7D"/>
    <w:rsid w:val="3B084F6D"/>
    <w:rsid w:val="3B0E5515"/>
    <w:rsid w:val="3B227222"/>
    <w:rsid w:val="3B325F58"/>
    <w:rsid w:val="3B380971"/>
    <w:rsid w:val="3B3E48C1"/>
    <w:rsid w:val="3B462ACF"/>
    <w:rsid w:val="3B4A3B53"/>
    <w:rsid w:val="3B4C57E7"/>
    <w:rsid w:val="3B4E4FF3"/>
    <w:rsid w:val="3B644096"/>
    <w:rsid w:val="3B721647"/>
    <w:rsid w:val="3B7C14CE"/>
    <w:rsid w:val="3B7F79A0"/>
    <w:rsid w:val="3B8502CE"/>
    <w:rsid w:val="3B861589"/>
    <w:rsid w:val="3B87558B"/>
    <w:rsid w:val="3B882B32"/>
    <w:rsid w:val="3B8B1746"/>
    <w:rsid w:val="3BBB4A67"/>
    <w:rsid w:val="3BC17ED4"/>
    <w:rsid w:val="3BD034C7"/>
    <w:rsid w:val="3BDA3DBC"/>
    <w:rsid w:val="3BDE45E3"/>
    <w:rsid w:val="3BE605D9"/>
    <w:rsid w:val="3C0268DC"/>
    <w:rsid w:val="3C0676DB"/>
    <w:rsid w:val="3C0836E4"/>
    <w:rsid w:val="3C166F83"/>
    <w:rsid w:val="3C254854"/>
    <w:rsid w:val="3C2D3B81"/>
    <w:rsid w:val="3C2F4C37"/>
    <w:rsid w:val="3C2F71BE"/>
    <w:rsid w:val="3C3D7E16"/>
    <w:rsid w:val="3C591483"/>
    <w:rsid w:val="3C5B37E5"/>
    <w:rsid w:val="3C6D1D29"/>
    <w:rsid w:val="3C726B26"/>
    <w:rsid w:val="3C850DE3"/>
    <w:rsid w:val="3C8A658B"/>
    <w:rsid w:val="3C8B2F1A"/>
    <w:rsid w:val="3C923082"/>
    <w:rsid w:val="3C980E54"/>
    <w:rsid w:val="3C9A00E0"/>
    <w:rsid w:val="3C9F2A79"/>
    <w:rsid w:val="3CA13237"/>
    <w:rsid w:val="3CC856A9"/>
    <w:rsid w:val="3CD33755"/>
    <w:rsid w:val="3CF61444"/>
    <w:rsid w:val="3CF769F7"/>
    <w:rsid w:val="3D0354C7"/>
    <w:rsid w:val="3D066155"/>
    <w:rsid w:val="3D0B2155"/>
    <w:rsid w:val="3D0C75B6"/>
    <w:rsid w:val="3D15663F"/>
    <w:rsid w:val="3D1D5A94"/>
    <w:rsid w:val="3D214671"/>
    <w:rsid w:val="3D236361"/>
    <w:rsid w:val="3D2E0C80"/>
    <w:rsid w:val="3D31610E"/>
    <w:rsid w:val="3D3432B5"/>
    <w:rsid w:val="3D4470C1"/>
    <w:rsid w:val="3D524E66"/>
    <w:rsid w:val="3D5571B3"/>
    <w:rsid w:val="3D6C6095"/>
    <w:rsid w:val="3D6D132D"/>
    <w:rsid w:val="3D7359C7"/>
    <w:rsid w:val="3D7642C9"/>
    <w:rsid w:val="3D7C338C"/>
    <w:rsid w:val="3D8D2ECD"/>
    <w:rsid w:val="3D902F88"/>
    <w:rsid w:val="3D923087"/>
    <w:rsid w:val="3D927E37"/>
    <w:rsid w:val="3D9437AC"/>
    <w:rsid w:val="3D995A58"/>
    <w:rsid w:val="3D9D7DEB"/>
    <w:rsid w:val="3DA07FF6"/>
    <w:rsid w:val="3DA140FC"/>
    <w:rsid w:val="3DA7242D"/>
    <w:rsid w:val="3DAA5996"/>
    <w:rsid w:val="3DBB1B3D"/>
    <w:rsid w:val="3DC02FB2"/>
    <w:rsid w:val="3DC236A2"/>
    <w:rsid w:val="3DCD7529"/>
    <w:rsid w:val="3DDA6D42"/>
    <w:rsid w:val="3DFA6BAD"/>
    <w:rsid w:val="3DFF13D1"/>
    <w:rsid w:val="3E055E2F"/>
    <w:rsid w:val="3E190112"/>
    <w:rsid w:val="3E32484C"/>
    <w:rsid w:val="3E3275DF"/>
    <w:rsid w:val="3E3A7708"/>
    <w:rsid w:val="3E3B108E"/>
    <w:rsid w:val="3E3E788C"/>
    <w:rsid w:val="3E541820"/>
    <w:rsid w:val="3E644A3A"/>
    <w:rsid w:val="3E7347F4"/>
    <w:rsid w:val="3E746699"/>
    <w:rsid w:val="3E7B7886"/>
    <w:rsid w:val="3E7D2EE7"/>
    <w:rsid w:val="3E837F1A"/>
    <w:rsid w:val="3E8A7629"/>
    <w:rsid w:val="3E911507"/>
    <w:rsid w:val="3EA845F7"/>
    <w:rsid w:val="3EAB60C1"/>
    <w:rsid w:val="3EAD75E9"/>
    <w:rsid w:val="3EB47FDF"/>
    <w:rsid w:val="3EE04EC0"/>
    <w:rsid w:val="3EE7073F"/>
    <w:rsid w:val="3EF83C43"/>
    <w:rsid w:val="3F01664D"/>
    <w:rsid w:val="3F03359F"/>
    <w:rsid w:val="3F0862CA"/>
    <w:rsid w:val="3F175FC8"/>
    <w:rsid w:val="3F177030"/>
    <w:rsid w:val="3F19164A"/>
    <w:rsid w:val="3F325095"/>
    <w:rsid w:val="3F3C7687"/>
    <w:rsid w:val="3F410DC2"/>
    <w:rsid w:val="3F527F3B"/>
    <w:rsid w:val="3F5950F2"/>
    <w:rsid w:val="3F5B1444"/>
    <w:rsid w:val="3F5B729D"/>
    <w:rsid w:val="3F806C44"/>
    <w:rsid w:val="3F895ED3"/>
    <w:rsid w:val="3F962447"/>
    <w:rsid w:val="3F986006"/>
    <w:rsid w:val="3FA7443B"/>
    <w:rsid w:val="3FB4559E"/>
    <w:rsid w:val="3FD010A5"/>
    <w:rsid w:val="3FD1687B"/>
    <w:rsid w:val="3FD26C28"/>
    <w:rsid w:val="3FD3260C"/>
    <w:rsid w:val="3FDA5ADC"/>
    <w:rsid w:val="3FEC4DDA"/>
    <w:rsid w:val="400311BC"/>
    <w:rsid w:val="40031307"/>
    <w:rsid w:val="400426DB"/>
    <w:rsid w:val="400754BC"/>
    <w:rsid w:val="402327C5"/>
    <w:rsid w:val="40277A2D"/>
    <w:rsid w:val="402D5275"/>
    <w:rsid w:val="403059C0"/>
    <w:rsid w:val="40402E56"/>
    <w:rsid w:val="40482B5A"/>
    <w:rsid w:val="405454FE"/>
    <w:rsid w:val="40596991"/>
    <w:rsid w:val="406714AB"/>
    <w:rsid w:val="40727205"/>
    <w:rsid w:val="407868C4"/>
    <w:rsid w:val="407A37D2"/>
    <w:rsid w:val="40850DCD"/>
    <w:rsid w:val="40883883"/>
    <w:rsid w:val="408D0932"/>
    <w:rsid w:val="409250E0"/>
    <w:rsid w:val="4093403A"/>
    <w:rsid w:val="409B4078"/>
    <w:rsid w:val="40A43CEF"/>
    <w:rsid w:val="40A62370"/>
    <w:rsid w:val="40BA20F8"/>
    <w:rsid w:val="40D40031"/>
    <w:rsid w:val="40D81306"/>
    <w:rsid w:val="40EC6041"/>
    <w:rsid w:val="40F17C36"/>
    <w:rsid w:val="40F46C68"/>
    <w:rsid w:val="410F4A78"/>
    <w:rsid w:val="41141972"/>
    <w:rsid w:val="41224ADA"/>
    <w:rsid w:val="41275C2E"/>
    <w:rsid w:val="41280054"/>
    <w:rsid w:val="412F54A5"/>
    <w:rsid w:val="41392864"/>
    <w:rsid w:val="413E2F28"/>
    <w:rsid w:val="41422C1C"/>
    <w:rsid w:val="41523F41"/>
    <w:rsid w:val="416A53FD"/>
    <w:rsid w:val="417245B8"/>
    <w:rsid w:val="417368FE"/>
    <w:rsid w:val="417E7336"/>
    <w:rsid w:val="419532ED"/>
    <w:rsid w:val="4195539B"/>
    <w:rsid w:val="41AC1D9C"/>
    <w:rsid w:val="41BC3617"/>
    <w:rsid w:val="41D06151"/>
    <w:rsid w:val="41DB71D5"/>
    <w:rsid w:val="41DC58FD"/>
    <w:rsid w:val="41E81B19"/>
    <w:rsid w:val="41E94279"/>
    <w:rsid w:val="41EC7D93"/>
    <w:rsid w:val="420722D7"/>
    <w:rsid w:val="42097FCB"/>
    <w:rsid w:val="420B6147"/>
    <w:rsid w:val="420F0D4B"/>
    <w:rsid w:val="42110B49"/>
    <w:rsid w:val="421B5B16"/>
    <w:rsid w:val="422C7AEF"/>
    <w:rsid w:val="42305C9F"/>
    <w:rsid w:val="42353548"/>
    <w:rsid w:val="423A038C"/>
    <w:rsid w:val="423A312E"/>
    <w:rsid w:val="4242619A"/>
    <w:rsid w:val="42490603"/>
    <w:rsid w:val="424C1277"/>
    <w:rsid w:val="424F6EDD"/>
    <w:rsid w:val="426A4377"/>
    <w:rsid w:val="426D7290"/>
    <w:rsid w:val="426F23F4"/>
    <w:rsid w:val="4279512B"/>
    <w:rsid w:val="428528CF"/>
    <w:rsid w:val="428668EF"/>
    <w:rsid w:val="428A33E5"/>
    <w:rsid w:val="429B1171"/>
    <w:rsid w:val="429F1F41"/>
    <w:rsid w:val="42A8731A"/>
    <w:rsid w:val="42AC4952"/>
    <w:rsid w:val="42AF41A5"/>
    <w:rsid w:val="42B20782"/>
    <w:rsid w:val="42B407E7"/>
    <w:rsid w:val="42CC7E7D"/>
    <w:rsid w:val="42D046C6"/>
    <w:rsid w:val="42D46529"/>
    <w:rsid w:val="42D75BB3"/>
    <w:rsid w:val="42D858AC"/>
    <w:rsid w:val="42DF035B"/>
    <w:rsid w:val="42E056CA"/>
    <w:rsid w:val="42EE3FCC"/>
    <w:rsid w:val="43063302"/>
    <w:rsid w:val="430A6BB3"/>
    <w:rsid w:val="431516B3"/>
    <w:rsid w:val="431C0081"/>
    <w:rsid w:val="43477606"/>
    <w:rsid w:val="43480904"/>
    <w:rsid w:val="434E05E4"/>
    <w:rsid w:val="43652C0B"/>
    <w:rsid w:val="43677FC6"/>
    <w:rsid w:val="437C6D22"/>
    <w:rsid w:val="438052B5"/>
    <w:rsid w:val="43840123"/>
    <w:rsid w:val="438B251D"/>
    <w:rsid w:val="43AB1CFD"/>
    <w:rsid w:val="43B33383"/>
    <w:rsid w:val="43BA4698"/>
    <w:rsid w:val="43BF0324"/>
    <w:rsid w:val="43C663FB"/>
    <w:rsid w:val="43CC4B66"/>
    <w:rsid w:val="43DB6DF5"/>
    <w:rsid w:val="43DF3775"/>
    <w:rsid w:val="43ED4311"/>
    <w:rsid w:val="44196CC4"/>
    <w:rsid w:val="442C03B2"/>
    <w:rsid w:val="44310A65"/>
    <w:rsid w:val="44477A41"/>
    <w:rsid w:val="447177A7"/>
    <w:rsid w:val="4473502A"/>
    <w:rsid w:val="447E39CB"/>
    <w:rsid w:val="448270B3"/>
    <w:rsid w:val="448E13D6"/>
    <w:rsid w:val="448E3CB7"/>
    <w:rsid w:val="44917C93"/>
    <w:rsid w:val="44935013"/>
    <w:rsid w:val="44987F0C"/>
    <w:rsid w:val="449C7A16"/>
    <w:rsid w:val="44B021CE"/>
    <w:rsid w:val="44B23BCA"/>
    <w:rsid w:val="44E53E1C"/>
    <w:rsid w:val="44EA2C56"/>
    <w:rsid w:val="44F329FE"/>
    <w:rsid w:val="44F4322D"/>
    <w:rsid w:val="451B155A"/>
    <w:rsid w:val="452B0E6B"/>
    <w:rsid w:val="452C6B94"/>
    <w:rsid w:val="45355A30"/>
    <w:rsid w:val="455E560C"/>
    <w:rsid w:val="458B13B6"/>
    <w:rsid w:val="458B4BC8"/>
    <w:rsid w:val="45A64872"/>
    <w:rsid w:val="45B916EF"/>
    <w:rsid w:val="45BF4853"/>
    <w:rsid w:val="45C805E8"/>
    <w:rsid w:val="45D0122B"/>
    <w:rsid w:val="45D33B13"/>
    <w:rsid w:val="45D950ED"/>
    <w:rsid w:val="45ED34B3"/>
    <w:rsid w:val="45EF75DF"/>
    <w:rsid w:val="45FB5E48"/>
    <w:rsid w:val="46136785"/>
    <w:rsid w:val="462845ED"/>
    <w:rsid w:val="462A3B19"/>
    <w:rsid w:val="462E578F"/>
    <w:rsid w:val="46377070"/>
    <w:rsid w:val="464614C6"/>
    <w:rsid w:val="46487CC3"/>
    <w:rsid w:val="464B612A"/>
    <w:rsid w:val="4656637D"/>
    <w:rsid w:val="4662504B"/>
    <w:rsid w:val="466801C2"/>
    <w:rsid w:val="46784A02"/>
    <w:rsid w:val="468574E5"/>
    <w:rsid w:val="46916F35"/>
    <w:rsid w:val="46946605"/>
    <w:rsid w:val="46A1235C"/>
    <w:rsid w:val="46B56D22"/>
    <w:rsid w:val="46B80C7D"/>
    <w:rsid w:val="46BB46A1"/>
    <w:rsid w:val="46CE43A9"/>
    <w:rsid w:val="46D41E44"/>
    <w:rsid w:val="46DC7AB0"/>
    <w:rsid w:val="46E459D2"/>
    <w:rsid w:val="46EF6DDE"/>
    <w:rsid w:val="46FB0EC4"/>
    <w:rsid w:val="46FB7CF1"/>
    <w:rsid w:val="4703114D"/>
    <w:rsid w:val="4707714E"/>
    <w:rsid w:val="470C5B5C"/>
    <w:rsid w:val="472A0D1B"/>
    <w:rsid w:val="472B4575"/>
    <w:rsid w:val="472D41FA"/>
    <w:rsid w:val="472E0B4C"/>
    <w:rsid w:val="47326FC5"/>
    <w:rsid w:val="47350F3E"/>
    <w:rsid w:val="47360D49"/>
    <w:rsid w:val="47376935"/>
    <w:rsid w:val="4750528A"/>
    <w:rsid w:val="47517A8D"/>
    <w:rsid w:val="47640BA9"/>
    <w:rsid w:val="47645B29"/>
    <w:rsid w:val="476F41C5"/>
    <w:rsid w:val="4779792E"/>
    <w:rsid w:val="477A4997"/>
    <w:rsid w:val="477C2213"/>
    <w:rsid w:val="477E133B"/>
    <w:rsid w:val="477F4A1B"/>
    <w:rsid w:val="479A09A1"/>
    <w:rsid w:val="47AE2F53"/>
    <w:rsid w:val="47BC45D4"/>
    <w:rsid w:val="47C7570B"/>
    <w:rsid w:val="47C75D11"/>
    <w:rsid w:val="47D90B69"/>
    <w:rsid w:val="47D92E90"/>
    <w:rsid w:val="47DD2BC4"/>
    <w:rsid w:val="47EB394C"/>
    <w:rsid w:val="47EC19A7"/>
    <w:rsid w:val="47F70CA8"/>
    <w:rsid w:val="47F81791"/>
    <w:rsid w:val="47F91983"/>
    <w:rsid w:val="47FD2667"/>
    <w:rsid w:val="47FE5EBC"/>
    <w:rsid w:val="48103EB4"/>
    <w:rsid w:val="48202D76"/>
    <w:rsid w:val="48276983"/>
    <w:rsid w:val="48290FA3"/>
    <w:rsid w:val="482F2F5E"/>
    <w:rsid w:val="484269A1"/>
    <w:rsid w:val="486B4A34"/>
    <w:rsid w:val="486E40D7"/>
    <w:rsid w:val="48745A17"/>
    <w:rsid w:val="48880567"/>
    <w:rsid w:val="488A4398"/>
    <w:rsid w:val="48964A77"/>
    <w:rsid w:val="489D4999"/>
    <w:rsid w:val="48A13BEC"/>
    <w:rsid w:val="48B44E93"/>
    <w:rsid w:val="48C2634C"/>
    <w:rsid w:val="48C52659"/>
    <w:rsid w:val="48CB12B7"/>
    <w:rsid w:val="48D85E3A"/>
    <w:rsid w:val="48FC5A2D"/>
    <w:rsid w:val="490C2EF2"/>
    <w:rsid w:val="490F0DC9"/>
    <w:rsid w:val="491273EE"/>
    <w:rsid w:val="49163E11"/>
    <w:rsid w:val="491A7AD8"/>
    <w:rsid w:val="49216A6A"/>
    <w:rsid w:val="4930420B"/>
    <w:rsid w:val="493529A7"/>
    <w:rsid w:val="49433148"/>
    <w:rsid w:val="49502142"/>
    <w:rsid w:val="49507DAF"/>
    <w:rsid w:val="4957415F"/>
    <w:rsid w:val="495D5607"/>
    <w:rsid w:val="496938E0"/>
    <w:rsid w:val="496B37C1"/>
    <w:rsid w:val="497478C4"/>
    <w:rsid w:val="497747F3"/>
    <w:rsid w:val="497F5F64"/>
    <w:rsid w:val="49882B35"/>
    <w:rsid w:val="499E3203"/>
    <w:rsid w:val="49B46AFF"/>
    <w:rsid w:val="49C26CA6"/>
    <w:rsid w:val="49C44B33"/>
    <w:rsid w:val="49D058E3"/>
    <w:rsid w:val="49FA725E"/>
    <w:rsid w:val="4A0928A8"/>
    <w:rsid w:val="4A154A99"/>
    <w:rsid w:val="4A1A5F02"/>
    <w:rsid w:val="4A2079DF"/>
    <w:rsid w:val="4A333556"/>
    <w:rsid w:val="4A3877DB"/>
    <w:rsid w:val="4A3A7CEE"/>
    <w:rsid w:val="4A3D1B57"/>
    <w:rsid w:val="4A406CC7"/>
    <w:rsid w:val="4A5578AA"/>
    <w:rsid w:val="4A57061F"/>
    <w:rsid w:val="4A595A9D"/>
    <w:rsid w:val="4A5B57AD"/>
    <w:rsid w:val="4A5C3A07"/>
    <w:rsid w:val="4A660002"/>
    <w:rsid w:val="4A6E062B"/>
    <w:rsid w:val="4A7C2A22"/>
    <w:rsid w:val="4A844D8B"/>
    <w:rsid w:val="4A961ACB"/>
    <w:rsid w:val="4AA35FA2"/>
    <w:rsid w:val="4AA9551A"/>
    <w:rsid w:val="4AC20090"/>
    <w:rsid w:val="4AC94DB8"/>
    <w:rsid w:val="4AE12699"/>
    <w:rsid w:val="4AE673FE"/>
    <w:rsid w:val="4AEB761B"/>
    <w:rsid w:val="4AF107B2"/>
    <w:rsid w:val="4AFE0DE7"/>
    <w:rsid w:val="4B046AC3"/>
    <w:rsid w:val="4B050FEE"/>
    <w:rsid w:val="4B104ABC"/>
    <w:rsid w:val="4B183D33"/>
    <w:rsid w:val="4B193C6F"/>
    <w:rsid w:val="4B233881"/>
    <w:rsid w:val="4B255188"/>
    <w:rsid w:val="4B2E5E75"/>
    <w:rsid w:val="4B3872E6"/>
    <w:rsid w:val="4B3B332A"/>
    <w:rsid w:val="4B544A62"/>
    <w:rsid w:val="4B546090"/>
    <w:rsid w:val="4B597207"/>
    <w:rsid w:val="4B723D87"/>
    <w:rsid w:val="4B7F05B4"/>
    <w:rsid w:val="4B930027"/>
    <w:rsid w:val="4B9B2826"/>
    <w:rsid w:val="4BB8593F"/>
    <w:rsid w:val="4BBE0C0E"/>
    <w:rsid w:val="4BD061A9"/>
    <w:rsid w:val="4BE11626"/>
    <w:rsid w:val="4BEB3960"/>
    <w:rsid w:val="4BF557E8"/>
    <w:rsid w:val="4C074E1F"/>
    <w:rsid w:val="4C0A267A"/>
    <w:rsid w:val="4C0B1FF4"/>
    <w:rsid w:val="4C140DFC"/>
    <w:rsid w:val="4C1D6E95"/>
    <w:rsid w:val="4C3E45A0"/>
    <w:rsid w:val="4C420909"/>
    <w:rsid w:val="4C5604A8"/>
    <w:rsid w:val="4C611F96"/>
    <w:rsid w:val="4C6D0539"/>
    <w:rsid w:val="4C76002F"/>
    <w:rsid w:val="4C786A62"/>
    <w:rsid w:val="4C790349"/>
    <w:rsid w:val="4C7A074B"/>
    <w:rsid w:val="4C8A333C"/>
    <w:rsid w:val="4C931F48"/>
    <w:rsid w:val="4C987828"/>
    <w:rsid w:val="4CA149AE"/>
    <w:rsid w:val="4CB236B5"/>
    <w:rsid w:val="4CB5196B"/>
    <w:rsid w:val="4CB72E36"/>
    <w:rsid w:val="4CBD509D"/>
    <w:rsid w:val="4CD73DE7"/>
    <w:rsid w:val="4CE344EC"/>
    <w:rsid w:val="4CE868DE"/>
    <w:rsid w:val="4CE939D4"/>
    <w:rsid w:val="4CEB3ACD"/>
    <w:rsid w:val="4CEE468F"/>
    <w:rsid w:val="4CF35BFB"/>
    <w:rsid w:val="4CF42DDB"/>
    <w:rsid w:val="4CF97100"/>
    <w:rsid w:val="4CF97AA9"/>
    <w:rsid w:val="4D0111E2"/>
    <w:rsid w:val="4D0360E0"/>
    <w:rsid w:val="4D044CC8"/>
    <w:rsid w:val="4D232532"/>
    <w:rsid w:val="4D2E4BC8"/>
    <w:rsid w:val="4D2F672E"/>
    <w:rsid w:val="4D3741CF"/>
    <w:rsid w:val="4D4411D5"/>
    <w:rsid w:val="4D4E5FF5"/>
    <w:rsid w:val="4D5D427D"/>
    <w:rsid w:val="4D634F30"/>
    <w:rsid w:val="4D701575"/>
    <w:rsid w:val="4D7153FB"/>
    <w:rsid w:val="4D826755"/>
    <w:rsid w:val="4D8F2F3D"/>
    <w:rsid w:val="4D926F9F"/>
    <w:rsid w:val="4DA111BA"/>
    <w:rsid w:val="4DAA7C06"/>
    <w:rsid w:val="4DB0348E"/>
    <w:rsid w:val="4DC964D8"/>
    <w:rsid w:val="4DCE2458"/>
    <w:rsid w:val="4DD126A1"/>
    <w:rsid w:val="4DD67AC7"/>
    <w:rsid w:val="4DED1783"/>
    <w:rsid w:val="4DF51404"/>
    <w:rsid w:val="4DF63B45"/>
    <w:rsid w:val="4E030F92"/>
    <w:rsid w:val="4E0B3A72"/>
    <w:rsid w:val="4E2B29D8"/>
    <w:rsid w:val="4E420BE3"/>
    <w:rsid w:val="4E453018"/>
    <w:rsid w:val="4E484D20"/>
    <w:rsid w:val="4E4A5E70"/>
    <w:rsid w:val="4E4C79C9"/>
    <w:rsid w:val="4E5633F4"/>
    <w:rsid w:val="4E7740D9"/>
    <w:rsid w:val="4E7D0DEF"/>
    <w:rsid w:val="4E7D733E"/>
    <w:rsid w:val="4E820F67"/>
    <w:rsid w:val="4E897418"/>
    <w:rsid w:val="4E8F07DF"/>
    <w:rsid w:val="4EAC0AFF"/>
    <w:rsid w:val="4EB6015C"/>
    <w:rsid w:val="4EC2021D"/>
    <w:rsid w:val="4ED562BB"/>
    <w:rsid w:val="4F001CA3"/>
    <w:rsid w:val="4F0606EF"/>
    <w:rsid w:val="4F16330A"/>
    <w:rsid w:val="4F1D662E"/>
    <w:rsid w:val="4F277D72"/>
    <w:rsid w:val="4F312CCF"/>
    <w:rsid w:val="4F36129C"/>
    <w:rsid w:val="4F366883"/>
    <w:rsid w:val="4F455497"/>
    <w:rsid w:val="4F4B286F"/>
    <w:rsid w:val="4F585B64"/>
    <w:rsid w:val="4F8808F5"/>
    <w:rsid w:val="4F947C1A"/>
    <w:rsid w:val="4F9734BF"/>
    <w:rsid w:val="4FA039E8"/>
    <w:rsid w:val="4FA20095"/>
    <w:rsid w:val="4FA56B00"/>
    <w:rsid w:val="4FAC2061"/>
    <w:rsid w:val="4FB84C4F"/>
    <w:rsid w:val="4FBC4BAF"/>
    <w:rsid w:val="4FC36740"/>
    <w:rsid w:val="4FCF16F3"/>
    <w:rsid w:val="4FE85665"/>
    <w:rsid w:val="4FE9719D"/>
    <w:rsid w:val="4FEA12CF"/>
    <w:rsid w:val="4FF818C4"/>
    <w:rsid w:val="4FFF0FE4"/>
    <w:rsid w:val="50036E2B"/>
    <w:rsid w:val="500D3920"/>
    <w:rsid w:val="501B7D86"/>
    <w:rsid w:val="50314CA0"/>
    <w:rsid w:val="50357BEC"/>
    <w:rsid w:val="503A525F"/>
    <w:rsid w:val="50482099"/>
    <w:rsid w:val="50510E8E"/>
    <w:rsid w:val="50537BC7"/>
    <w:rsid w:val="506012E8"/>
    <w:rsid w:val="50634020"/>
    <w:rsid w:val="50683BBA"/>
    <w:rsid w:val="50715486"/>
    <w:rsid w:val="50787FA2"/>
    <w:rsid w:val="50795816"/>
    <w:rsid w:val="50990902"/>
    <w:rsid w:val="50A26444"/>
    <w:rsid w:val="50CA1072"/>
    <w:rsid w:val="50D61DDA"/>
    <w:rsid w:val="50E72A82"/>
    <w:rsid w:val="50F23D51"/>
    <w:rsid w:val="50F47594"/>
    <w:rsid w:val="50F97B67"/>
    <w:rsid w:val="50FB725F"/>
    <w:rsid w:val="50FD13B2"/>
    <w:rsid w:val="51084C64"/>
    <w:rsid w:val="51170A4D"/>
    <w:rsid w:val="512441B2"/>
    <w:rsid w:val="51282D4D"/>
    <w:rsid w:val="51327881"/>
    <w:rsid w:val="51350D4E"/>
    <w:rsid w:val="51365174"/>
    <w:rsid w:val="51433456"/>
    <w:rsid w:val="514679D7"/>
    <w:rsid w:val="514C7C59"/>
    <w:rsid w:val="51621F4B"/>
    <w:rsid w:val="51772086"/>
    <w:rsid w:val="5177693C"/>
    <w:rsid w:val="5179397E"/>
    <w:rsid w:val="5194382F"/>
    <w:rsid w:val="519A4335"/>
    <w:rsid w:val="519D479D"/>
    <w:rsid w:val="51BD203B"/>
    <w:rsid w:val="51C05CD4"/>
    <w:rsid w:val="51D2449F"/>
    <w:rsid w:val="51DD4EE9"/>
    <w:rsid w:val="51E36A19"/>
    <w:rsid w:val="51F56DFD"/>
    <w:rsid w:val="51FE0298"/>
    <w:rsid w:val="52077EE5"/>
    <w:rsid w:val="520B35CD"/>
    <w:rsid w:val="52160AD9"/>
    <w:rsid w:val="521841A4"/>
    <w:rsid w:val="521B4163"/>
    <w:rsid w:val="52286EBC"/>
    <w:rsid w:val="5230544E"/>
    <w:rsid w:val="52326EA9"/>
    <w:rsid w:val="5246628D"/>
    <w:rsid w:val="52554011"/>
    <w:rsid w:val="5257750D"/>
    <w:rsid w:val="525C0A1C"/>
    <w:rsid w:val="5268561B"/>
    <w:rsid w:val="52686E28"/>
    <w:rsid w:val="526C7FFE"/>
    <w:rsid w:val="527318DD"/>
    <w:rsid w:val="52741050"/>
    <w:rsid w:val="527639E5"/>
    <w:rsid w:val="52810233"/>
    <w:rsid w:val="52856FC2"/>
    <w:rsid w:val="52857D7C"/>
    <w:rsid w:val="52A00C76"/>
    <w:rsid w:val="52B56E55"/>
    <w:rsid w:val="52D9178A"/>
    <w:rsid w:val="52DB074C"/>
    <w:rsid w:val="52F16F39"/>
    <w:rsid w:val="52F708AB"/>
    <w:rsid w:val="52FE30BB"/>
    <w:rsid w:val="531C42AB"/>
    <w:rsid w:val="53273004"/>
    <w:rsid w:val="53294031"/>
    <w:rsid w:val="532A77B1"/>
    <w:rsid w:val="533F45CA"/>
    <w:rsid w:val="534B7463"/>
    <w:rsid w:val="5356206E"/>
    <w:rsid w:val="535C42AB"/>
    <w:rsid w:val="536E79E7"/>
    <w:rsid w:val="53707397"/>
    <w:rsid w:val="5375123D"/>
    <w:rsid w:val="53772818"/>
    <w:rsid w:val="5395369D"/>
    <w:rsid w:val="53DD0633"/>
    <w:rsid w:val="53E23A01"/>
    <w:rsid w:val="53E97089"/>
    <w:rsid w:val="53F313A1"/>
    <w:rsid w:val="53F944FF"/>
    <w:rsid w:val="54073936"/>
    <w:rsid w:val="54164BCD"/>
    <w:rsid w:val="54207E6C"/>
    <w:rsid w:val="5433207D"/>
    <w:rsid w:val="54372600"/>
    <w:rsid w:val="54376D27"/>
    <w:rsid w:val="54614B31"/>
    <w:rsid w:val="54723772"/>
    <w:rsid w:val="547873EA"/>
    <w:rsid w:val="548E44D8"/>
    <w:rsid w:val="5495063E"/>
    <w:rsid w:val="54A337EA"/>
    <w:rsid w:val="54AD10F3"/>
    <w:rsid w:val="54AF0555"/>
    <w:rsid w:val="54B40D35"/>
    <w:rsid w:val="54B41752"/>
    <w:rsid w:val="54CE2507"/>
    <w:rsid w:val="54D03F59"/>
    <w:rsid w:val="54D340A4"/>
    <w:rsid w:val="54E77C47"/>
    <w:rsid w:val="550E57AA"/>
    <w:rsid w:val="55181CD2"/>
    <w:rsid w:val="55282FAE"/>
    <w:rsid w:val="553D6E34"/>
    <w:rsid w:val="55411A5E"/>
    <w:rsid w:val="55414234"/>
    <w:rsid w:val="55474BFE"/>
    <w:rsid w:val="555A5267"/>
    <w:rsid w:val="555A759A"/>
    <w:rsid w:val="557837FF"/>
    <w:rsid w:val="5580511D"/>
    <w:rsid w:val="559E228A"/>
    <w:rsid w:val="55A14894"/>
    <w:rsid w:val="55A65C97"/>
    <w:rsid w:val="55BB65AB"/>
    <w:rsid w:val="55C15735"/>
    <w:rsid w:val="55C22AC4"/>
    <w:rsid w:val="55CE4ED1"/>
    <w:rsid w:val="55D01D97"/>
    <w:rsid w:val="55D06345"/>
    <w:rsid w:val="55D2124B"/>
    <w:rsid w:val="55D26AA0"/>
    <w:rsid w:val="55E9733B"/>
    <w:rsid w:val="55FC541D"/>
    <w:rsid w:val="56311EFB"/>
    <w:rsid w:val="56355706"/>
    <w:rsid w:val="56415160"/>
    <w:rsid w:val="564F6F6C"/>
    <w:rsid w:val="56533C41"/>
    <w:rsid w:val="56745085"/>
    <w:rsid w:val="5675380A"/>
    <w:rsid w:val="56870FD0"/>
    <w:rsid w:val="5696727A"/>
    <w:rsid w:val="56A37ED2"/>
    <w:rsid w:val="56A832A5"/>
    <w:rsid w:val="56B13CF3"/>
    <w:rsid w:val="56CD59E6"/>
    <w:rsid w:val="56CF7CF1"/>
    <w:rsid w:val="56D43EDB"/>
    <w:rsid w:val="56D951D8"/>
    <w:rsid w:val="56E02B50"/>
    <w:rsid w:val="56EC590D"/>
    <w:rsid w:val="57072FD6"/>
    <w:rsid w:val="570C03A9"/>
    <w:rsid w:val="571628FA"/>
    <w:rsid w:val="5720603D"/>
    <w:rsid w:val="57244B18"/>
    <w:rsid w:val="57292DC2"/>
    <w:rsid w:val="57323D7B"/>
    <w:rsid w:val="573766C8"/>
    <w:rsid w:val="573F217F"/>
    <w:rsid w:val="5746008E"/>
    <w:rsid w:val="575E22B0"/>
    <w:rsid w:val="576046A2"/>
    <w:rsid w:val="57775C20"/>
    <w:rsid w:val="577A519D"/>
    <w:rsid w:val="579345B0"/>
    <w:rsid w:val="57950A79"/>
    <w:rsid w:val="57964C82"/>
    <w:rsid w:val="57992E71"/>
    <w:rsid w:val="57AF22A3"/>
    <w:rsid w:val="57DE2AA9"/>
    <w:rsid w:val="57E27050"/>
    <w:rsid w:val="57E34BFB"/>
    <w:rsid w:val="57E51C80"/>
    <w:rsid w:val="57E553DC"/>
    <w:rsid w:val="57EC19DF"/>
    <w:rsid w:val="57EF6871"/>
    <w:rsid w:val="57F52903"/>
    <w:rsid w:val="58013EC0"/>
    <w:rsid w:val="5806770C"/>
    <w:rsid w:val="580A0A19"/>
    <w:rsid w:val="581707BE"/>
    <w:rsid w:val="581E5646"/>
    <w:rsid w:val="581F42ED"/>
    <w:rsid w:val="58202534"/>
    <w:rsid w:val="58235FFE"/>
    <w:rsid w:val="58240039"/>
    <w:rsid w:val="5828231D"/>
    <w:rsid w:val="582F5FB6"/>
    <w:rsid w:val="58446A9A"/>
    <w:rsid w:val="58457702"/>
    <w:rsid w:val="584748BC"/>
    <w:rsid w:val="584B3DC3"/>
    <w:rsid w:val="58577300"/>
    <w:rsid w:val="585B19A4"/>
    <w:rsid w:val="5877237F"/>
    <w:rsid w:val="58800DC1"/>
    <w:rsid w:val="58A9764A"/>
    <w:rsid w:val="58B337A1"/>
    <w:rsid w:val="58B82186"/>
    <w:rsid w:val="58CF78BD"/>
    <w:rsid w:val="58D77A53"/>
    <w:rsid w:val="58DE4F52"/>
    <w:rsid w:val="58DF5124"/>
    <w:rsid w:val="58E87853"/>
    <w:rsid w:val="592C02EE"/>
    <w:rsid w:val="592D622C"/>
    <w:rsid w:val="593D5C9D"/>
    <w:rsid w:val="594364C1"/>
    <w:rsid w:val="595A121E"/>
    <w:rsid w:val="59603286"/>
    <w:rsid w:val="59657845"/>
    <w:rsid w:val="5974260E"/>
    <w:rsid w:val="597641CE"/>
    <w:rsid w:val="598254F6"/>
    <w:rsid w:val="599C37A9"/>
    <w:rsid w:val="599D777F"/>
    <w:rsid w:val="59A40CE6"/>
    <w:rsid w:val="59BE2A87"/>
    <w:rsid w:val="59BF2EE1"/>
    <w:rsid w:val="59C75644"/>
    <w:rsid w:val="59CD437F"/>
    <w:rsid w:val="59E25E43"/>
    <w:rsid w:val="59E47AB8"/>
    <w:rsid w:val="59E973F0"/>
    <w:rsid w:val="5A163EBC"/>
    <w:rsid w:val="5A245B42"/>
    <w:rsid w:val="5A2C0D01"/>
    <w:rsid w:val="5A2D6A6E"/>
    <w:rsid w:val="5A307AB0"/>
    <w:rsid w:val="5A4A5FC3"/>
    <w:rsid w:val="5A5B3196"/>
    <w:rsid w:val="5A644831"/>
    <w:rsid w:val="5A6E6F59"/>
    <w:rsid w:val="5A7B3B39"/>
    <w:rsid w:val="5A7B6719"/>
    <w:rsid w:val="5A8471FE"/>
    <w:rsid w:val="5A8D7547"/>
    <w:rsid w:val="5AA966C7"/>
    <w:rsid w:val="5AAB627F"/>
    <w:rsid w:val="5AAC3265"/>
    <w:rsid w:val="5AB30690"/>
    <w:rsid w:val="5AB45D5E"/>
    <w:rsid w:val="5ABF2F6E"/>
    <w:rsid w:val="5AD8678D"/>
    <w:rsid w:val="5AE252AD"/>
    <w:rsid w:val="5AE5484F"/>
    <w:rsid w:val="5AEB766A"/>
    <w:rsid w:val="5AEE7C4A"/>
    <w:rsid w:val="5AF07FF7"/>
    <w:rsid w:val="5AF422E5"/>
    <w:rsid w:val="5B161510"/>
    <w:rsid w:val="5B263EAB"/>
    <w:rsid w:val="5B3F7346"/>
    <w:rsid w:val="5B454CEE"/>
    <w:rsid w:val="5B4842FE"/>
    <w:rsid w:val="5B4A3885"/>
    <w:rsid w:val="5B512B1F"/>
    <w:rsid w:val="5B5B451C"/>
    <w:rsid w:val="5B6F1C7E"/>
    <w:rsid w:val="5B820AE5"/>
    <w:rsid w:val="5B94646D"/>
    <w:rsid w:val="5BAC0F8F"/>
    <w:rsid w:val="5BBD4F1D"/>
    <w:rsid w:val="5BF243F2"/>
    <w:rsid w:val="5BF26431"/>
    <w:rsid w:val="5C006D9C"/>
    <w:rsid w:val="5C01190A"/>
    <w:rsid w:val="5C123536"/>
    <w:rsid w:val="5C182521"/>
    <w:rsid w:val="5C1B49BC"/>
    <w:rsid w:val="5C1C7139"/>
    <w:rsid w:val="5C2909BC"/>
    <w:rsid w:val="5C363845"/>
    <w:rsid w:val="5C3B6606"/>
    <w:rsid w:val="5C412391"/>
    <w:rsid w:val="5C416DF5"/>
    <w:rsid w:val="5C427345"/>
    <w:rsid w:val="5C451528"/>
    <w:rsid w:val="5C517094"/>
    <w:rsid w:val="5C5D7555"/>
    <w:rsid w:val="5C5F1B9C"/>
    <w:rsid w:val="5C656DF5"/>
    <w:rsid w:val="5C6D4EE2"/>
    <w:rsid w:val="5C6E4B0C"/>
    <w:rsid w:val="5C7A18C2"/>
    <w:rsid w:val="5C872D3A"/>
    <w:rsid w:val="5C8D0454"/>
    <w:rsid w:val="5C96449C"/>
    <w:rsid w:val="5CA97097"/>
    <w:rsid w:val="5CB56A67"/>
    <w:rsid w:val="5CB86363"/>
    <w:rsid w:val="5CCE75B1"/>
    <w:rsid w:val="5CF0088E"/>
    <w:rsid w:val="5CF2197F"/>
    <w:rsid w:val="5CF60B78"/>
    <w:rsid w:val="5CF7652F"/>
    <w:rsid w:val="5D0204DB"/>
    <w:rsid w:val="5D0872F6"/>
    <w:rsid w:val="5D1A7B53"/>
    <w:rsid w:val="5D205D02"/>
    <w:rsid w:val="5D311082"/>
    <w:rsid w:val="5D324935"/>
    <w:rsid w:val="5D443734"/>
    <w:rsid w:val="5D4E2939"/>
    <w:rsid w:val="5D573AAA"/>
    <w:rsid w:val="5D62662C"/>
    <w:rsid w:val="5D6E5A44"/>
    <w:rsid w:val="5D716320"/>
    <w:rsid w:val="5D7D3DC2"/>
    <w:rsid w:val="5D880470"/>
    <w:rsid w:val="5D901E85"/>
    <w:rsid w:val="5D9540D0"/>
    <w:rsid w:val="5DAA155E"/>
    <w:rsid w:val="5DC97564"/>
    <w:rsid w:val="5DCE71C0"/>
    <w:rsid w:val="5DD2327D"/>
    <w:rsid w:val="5DD63FF3"/>
    <w:rsid w:val="5DDD060A"/>
    <w:rsid w:val="5DE1243F"/>
    <w:rsid w:val="5DEC2997"/>
    <w:rsid w:val="5DFC038B"/>
    <w:rsid w:val="5E014018"/>
    <w:rsid w:val="5E1D4229"/>
    <w:rsid w:val="5E2B07AA"/>
    <w:rsid w:val="5E2E5C16"/>
    <w:rsid w:val="5E374E64"/>
    <w:rsid w:val="5E4A7096"/>
    <w:rsid w:val="5E51574E"/>
    <w:rsid w:val="5E5559F9"/>
    <w:rsid w:val="5E6B7E83"/>
    <w:rsid w:val="5E780DEA"/>
    <w:rsid w:val="5E7B7D5D"/>
    <w:rsid w:val="5E813BB2"/>
    <w:rsid w:val="5E9563AD"/>
    <w:rsid w:val="5EA21DBF"/>
    <w:rsid w:val="5EAA08D3"/>
    <w:rsid w:val="5EAF0264"/>
    <w:rsid w:val="5EAF2B32"/>
    <w:rsid w:val="5EB136B4"/>
    <w:rsid w:val="5EB64EB2"/>
    <w:rsid w:val="5EC016AB"/>
    <w:rsid w:val="5ED07821"/>
    <w:rsid w:val="5EDF0BC7"/>
    <w:rsid w:val="5EE31366"/>
    <w:rsid w:val="5EEE64B0"/>
    <w:rsid w:val="5EFF674C"/>
    <w:rsid w:val="5F0B3B16"/>
    <w:rsid w:val="5F183785"/>
    <w:rsid w:val="5F3723C8"/>
    <w:rsid w:val="5F4F5E92"/>
    <w:rsid w:val="5F631FA8"/>
    <w:rsid w:val="5F7139F5"/>
    <w:rsid w:val="5F7961A0"/>
    <w:rsid w:val="5F7D366D"/>
    <w:rsid w:val="5F810B98"/>
    <w:rsid w:val="5F89243E"/>
    <w:rsid w:val="5F90118D"/>
    <w:rsid w:val="5F905B2A"/>
    <w:rsid w:val="5F9962EE"/>
    <w:rsid w:val="5FA71481"/>
    <w:rsid w:val="5FBA1B71"/>
    <w:rsid w:val="5FBA2FC2"/>
    <w:rsid w:val="5FCB431E"/>
    <w:rsid w:val="5FCC71D5"/>
    <w:rsid w:val="5FD6781B"/>
    <w:rsid w:val="5FDF77E5"/>
    <w:rsid w:val="5FE03D55"/>
    <w:rsid w:val="5FE75659"/>
    <w:rsid w:val="5FF765B1"/>
    <w:rsid w:val="5FFA63E0"/>
    <w:rsid w:val="60134AC9"/>
    <w:rsid w:val="60156312"/>
    <w:rsid w:val="601F2735"/>
    <w:rsid w:val="602A03BC"/>
    <w:rsid w:val="604E5481"/>
    <w:rsid w:val="6056347B"/>
    <w:rsid w:val="605724BE"/>
    <w:rsid w:val="60685467"/>
    <w:rsid w:val="60693CC5"/>
    <w:rsid w:val="6069422E"/>
    <w:rsid w:val="60764595"/>
    <w:rsid w:val="608001E8"/>
    <w:rsid w:val="60843483"/>
    <w:rsid w:val="608B25BA"/>
    <w:rsid w:val="608C0E4B"/>
    <w:rsid w:val="609304D5"/>
    <w:rsid w:val="609D420F"/>
    <w:rsid w:val="60A139DE"/>
    <w:rsid w:val="60A6226A"/>
    <w:rsid w:val="60AB5BFA"/>
    <w:rsid w:val="60AB5D7A"/>
    <w:rsid w:val="60AF2EFB"/>
    <w:rsid w:val="60C311B7"/>
    <w:rsid w:val="60D125C7"/>
    <w:rsid w:val="60E72786"/>
    <w:rsid w:val="610702E0"/>
    <w:rsid w:val="61195BE0"/>
    <w:rsid w:val="611D1708"/>
    <w:rsid w:val="611E2645"/>
    <w:rsid w:val="611E36C0"/>
    <w:rsid w:val="612554E0"/>
    <w:rsid w:val="6138574A"/>
    <w:rsid w:val="614E3B62"/>
    <w:rsid w:val="61593E4D"/>
    <w:rsid w:val="61597632"/>
    <w:rsid w:val="61631251"/>
    <w:rsid w:val="6168544B"/>
    <w:rsid w:val="618064C2"/>
    <w:rsid w:val="61861592"/>
    <w:rsid w:val="61887CEC"/>
    <w:rsid w:val="61890475"/>
    <w:rsid w:val="618A6324"/>
    <w:rsid w:val="61933550"/>
    <w:rsid w:val="61943B9E"/>
    <w:rsid w:val="61985B44"/>
    <w:rsid w:val="61AD24B1"/>
    <w:rsid w:val="61B15EC2"/>
    <w:rsid w:val="61B72968"/>
    <w:rsid w:val="61B9105B"/>
    <w:rsid w:val="61BA238C"/>
    <w:rsid w:val="61BF057D"/>
    <w:rsid w:val="61C97A13"/>
    <w:rsid w:val="61CD3898"/>
    <w:rsid w:val="61CE319D"/>
    <w:rsid w:val="61D10A75"/>
    <w:rsid w:val="61EE48D8"/>
    <w:rsid w:val="61FD384E"/>
    <w:rsid w:val="61FE43AD"/>
    <w:rsid w:val="62195EF2"/>
    <w:rsid w:val="62196C5F"/>
    <w:rsid w:val="622B2C35"/>
    <w:rsid w:val="62332BE7"/>
    <w:rsid w:val="623709A0"/>
    <w:rsid w:val="623757CE"/>
    <w:rsid w:val="624A345B"/>
    <w:rsid w:val="62502664"/>
    <w:rsid w:val="6264765B"/>
    <w:rsid w:val="626508B3"/>
    <w:rsid w:val="62666E07"/>
    <w:rsid w:val="626804E4"/>
    <w:rsid w:val="62905276"/>
    <w:rsid w:val="62985A96"/>
    <w:rsid w:val="629A1363"/>
    <w:rsid w:val="62B66B44"/>
    <w:rsid w:val="62B92C9E"/>
    <w:rsid w:val="62D95D62"/>
    <w:rsid w:val="62E11233"/>
    <w:rsid w:val="62E155D8"/>
    <w:rsid w:val="62ED1583"/>
    <w:rsid w:val="63024FFB"/>
    <w:rsid w:val="630456E6"/>
    <w:rsid w:val="63080568"/>
    <w:rsid w:val="630D4F56"/>
    <w:rsid w:val="63173843"/>
    <w:rsid w:val="632D4567"/>
    <w:rsid w:val="635B3DC2"/>
    <w:rsid w:val="635F1FDF"/>
    <w:rsid w:val="6377154E"/>
    <w:rsid w:val="63787C23"/>
    <w:rsid w:val="63933CDC"/>
    <w:rsid w:val="63980816"/>
    <w:rsid w:val="63981D4D"/>
    <w:rsid w:val="63AC685F"/>
    <w:rsid w:val="63AE6F4D"/>
    <w:rsid w:val="63B60E3E"/>
    <w:rsid w:val="63BC305C"/>
    <w:rsid w:val="63C0475B"/>
    <w:rsid w:val="63D22DFA"/>
    <w:rsid w:val="63D968AF"/>
    <w:rsid w:val="63DD6491"/>
    <w:rsid w:val="63E364A0"/>
    <w:rsid w:val="63EB0DDD"/>
    <w:rsid w:val="63EB5DBF"/>
    <w:rsid w:val="63F70E53"/>
    <w:rsid w:val="63FD0D99"/>
    <w:rsid w:val="63FD27AF"/>
    <w:rsid w:val="64041E7F"/>
    <w:rsid w:val="64064637"/>
    <w:rsid w:val="640C5D3B"/>
    <w:rsid w:val="642C4A2F"/>
    <w:rsid w:val="64486909"/>
    <w:rsid w:val="6468579E"/>
    <w:rsid w:val="646F5936"/>
    <w:rsid w:val="648434BF"/>
    <w:rsid w:val="64A64D06"/>
    <w:rsid w:val="64A83DA6"/>
    <w:rsid w:val="64AE3F9E"/>
    <w:rsid w:val="64B31FD3"/>
    <w:rsid w:val="64BF14E0"/>
    <w:rsid w:val="64C1285B"/>
    <w:rsid w:val="64CB4B31"/>
    <w:rsid w:val="64D87D36"/>
    <w:rsid w:val="64E67C56"/>
    <w:rsid w:val="64E93FDC"/>
    <w:rsid w:val="64F552F2"/>
    <w:rsid w:val="65053BE3"/>
    <w:rsid w:val="65107D7E"/>
    <w:rsid w:val="651753CE"/>
    <w:rsid w:val="652D5E7F"/>
    <w:rsid w:val="65353DC2"/>
    <w:rsid w:val="65507243"/>
    <w:rsid w:val="6559792E"/>
    <w:rsid w:val="656027FF"/>
    <w:rsid w:val="6561645B"/>
    <w:rsid w:val="658D7344"/>
    <w:rsid w:val="65C753D5"/>
    <w:rsid w:val="65CF21A0"/>
    <w:rsid w:val="65FE6D3A"/>
    <w:rsid w:val="660A16ED"/>
    <w:rsid w:val="660D1534"/>
    <w:rsid w:val="661B2301"/>
    <w:rsid w:val="66210939"/>
    <w:rsid w:val="662C0A09"/>
    <w:rsid w:val="662D72B1"/>
    <w:rsid w:val="66412CCB"/>
    <w:rsid w:val="66457E51"/>
    <w:rsid w:val="66515F3D"/>
    <w:rsid w:val="666B6759"/>
    <w:rsid w:val="66722226"/>
    <w:rsid w:val="66785063"/>
    <w:rsid w:val="6680376E"/>
    <w:rsid w:val="66824F18"/>
    <w:rsid w:val="6687159A"/>
    <w:rsid w:val="66884615"/>
    <w:rsid w:val="668C7574"/>
    <w:rsid w:val="668F12D1"/>
    <w:rsid w:val="66A20392"/>
    <w:rsid w:val="66CF747F"/>
    <w:rsid w:val="66DD0E44"/>
    <w:rsid w:val="66DD2717"/>
    <w:rsid w:val="66DD4FD8"/>
    <w:rsid w:val="66ED31EA"/>
    <w:rsid w:val="66F576DC"/>
    <w:rsid w:val="670B25E5"/>
    <w:rsid w:val="6711714A"/>
    <w:rsid w:val="67151733"/>
    <w:rsid w:val="67212C1D"/>
    <w:rsid w:val="67294A44"/>
    <w:rsid w:val="6742469A"/>
    <w:rsid w:val="674336D1"/>
    <w:rsid w:val="67571370"/>
    <w:rsid w:val="675D34B2"/>
    <w:rsid w:val="676D0C4D"/>
    <w:rsid w:val="676E1F52"/>
    <w:rsid w:val="67744CC3"/>
    <w:rsid w:val="67767595"/>
    <w:rsid w:val="67811B9D"/>
    <w:rsid w:val="67864A7F"/>
    <w:rsid w:val="678D3D40"/>
    <w:rsid w:val="678D76A3"/>
    <w:rsid w:val="679E729D"/>
    <w:rsid w:val="67B15C52"/>
    <w:rsid w:val="67B35000"/>
    <w:rsid w:val="67B528AB"/>
    <w:rsid w:val="67B81B8B"/>
    <w:rsid w:val="67D13F01"/>
    <w:rsid w:val="67D158DF"/>
    <w:rsid w:val="67DD22C3"/>
    <w:rsid w:val="67DE58B9"/>
    <w:rsid w:val="67EA1F83"/>
    <w:rsid w:val="67F75E8E"/>
    <w:rsid w:val="6804167F"/>
    <w:rsid w:val="68180E90"/>
    <w:rsid w:val="681D398A"/>
    <w:rsid w:val="68293C00"/>
    <w:rsid w:val="682E0D14"/>
    <w:rsid w:val="68371151"/>
    <w:rsid w:val="68396777"/>
    <w:rsid w:val="683A3267"/>
    <w:rsid w:val="683C6F05"/>
    <w:rsid w:val="683D2AF3"/>
    <w:rsid w:val="6848539F"/>
    <w:rsid w:val="684956F0"/>
    <w:rsid w:val="68557F43"/>
    <w:rsid w:val="68573192"/>
    <w:rsid w:val="68651937"/>
    <w:rsid w:val="68660645"/>
    <w:rsid w:val="686B21BB"/>
    <w:rsid w:val="68845081"/>
    <w:rsid w:val="68856BDF"/>
    <w:rsid w:val="68A74D7F"/>
    <w:rsid w:val="68BC349D"/>
    <w:rsid w:val="68BF606E"/>
    <w:rsid w:val="68C35914"/>
    <w:rsid w:val="68D00AD4"/>
    <w:rsid w:val="68D00E9D"/>
    <w:rsid w:val="68E32417"/>
    <w:rsid w:val="68E34B21"/>
    <w:rsid w:val="68F25BF7"/>
    <w:rsid w:val="69002B2D"/>
    <w:rsid w:val="690A3C2F"/>
    <w:rsid w:val="690A4525"/>
    <w:rsid w:val="69122223"/>
    <w:rsid w:val="691867A1"/>
    <w:rsid w:val="691A3243"/>
    <w:rsid w:val="691B09FE"/>
    <w:rsid w:val="691D4357"/>
    <w:rsid w:val="69221EE6"/>
    <w:rsid w:val="693B6D7B"/>
    <w:rsid w:val="69530378"/>
    <w:rsid w:val="69603AB5"/>
    <w:rsid w:val="69672B80"/>
    <w:rsid w:val="69696E4E"/>
    <w:rsid w:val="696B0469"/>
    <w:rsid w:val="696C42BB"/>
    <w:rsid w:val="69743A59"/>
    <w:rsid w:val="6975267B"/>
    <w:rsid w:val="697A3A8B"/>
    <w:rsid w:val="69881F45"/>
    <w:rsid w:val="698A6B0F"/>
    <w:rsid w:val="69937707"/>
    <w:rsid w:val="69B008C2"/>
    <w:rsid w:val="69C16F55"/>
    <w:rsid w:val="69CC14E2"/>
    <w:rsid w:val="69CD6393"/>
    <w:rsid w:val="69DF5B42"/>
    <w:rsid w:val="69E23DB6"/>
    <w:rsid w:val="69EC4C9C"/>
    <w:rsid w:val="69F1784C"/>
    <w:rsid w:val="69FB5F77"/>
    <w:rsid w:val="69FD30F4"/>
    <w:rsid w:val="6A006386"/>
    <w:rsid w:val="6A043D17"/>
    <w:rsid w:val="6A052F95"/>
    <w:rsid w:val="6A085BC1"/>
    <w:rsid w:val="6A1C280B"/>
    <w:rsid w:val="6A1C6245"/>
    <w:rsid w:val="6A1F7A9F"/>
    <w:rsid w:val="6A20638D"/>
    <w:rsid w:val="6A28131D"/>
    <w:rsid w:val="6A30542B"/>
    <w:rsid w:val="6A38427B"/>
    <w:rsid w:val="6A3B4F10"/>
    <w:rsid w:val="6A3C0493"/>
    <w:rsid w:val="6A3E174C"/>
    <w:rsid w:val="6A6A615F"/>
    <w:rsid w:val="6A782EAA"/>
    <w:rsid w:val="6A7D12F1"/>
    <w:rsid w:val="6A841983"/>
    <w:rsid w:val="6A8D51AE"/>
    <w:rsid w:val="6A8E7E0A"/>
    <w:rsid w:val="6A8F451D"/>
    <w:rsid w:val="6A9076D0"/>
    <w:rsid w:val="6A9A517A"/>
    <w:rsid w:val="6A9E377B"/>
    <w:rsid w:val="6AB40A82"/>
    <w:rsid w:val="6AD3150D"/>
    <w:rsid w:val="6ADA5A39"/>
    <w:rsid w:val="6ADA5AD3"/>
    <w:rsid w:val="6AE005C3"/>
    <w:rsid w:val="6AEE1285"/>
    <w:rsid w:val="6AFB0FD9"/>
    <w:rsid w:val="6B04148D"/>
    <w:rsid w:val="6B0B101A"/>
    <w:rsid w:val="6B26623A"/>
    <w:rsid w:val="6B266D48"/>
    <w:rsid w:val="6B36306B"/>
    <w:rsid w:val="6B395122"/>
    <w:rsid w:val="6B42434B"/>
    <w:rsid w:val="6B435052"/>
    <w:rsid w:val="6B5C5A85"/>
    <w:rsid w:val="6B5F24B5"/>
    <w:rsid w:val="6B6C551C"/>
    <w:rsid w:val="6B704279"/>
    <w:rsid w:val="6B706FE3"/>
    <w:rsid w:val="6B7128C0"/>
    <w:rsid w:val="6B7A07C7"/>
    <w:rsid w:val="6B9B5DCB"/>
    <w:rsid w:val="6BA904B7"/>
    <w:rsid w:val="6BAE481D"/>
    <w:rsid w:val="6BB949CC"/>
    <w:rsid w:val="6BC21694"/>
    <w:rsid w:val="6BC345AE"/>
    <w:rsid w:val="6BD141AE"/>
    <w:rsid w:val="6BE21573"/>
    <w:rsid w:val="6BE82C6E"/>
    <w:rsid w:val="6BEA320E"/>
    <w:rsid w:val="6BEA4DCC"/>
    <w:rsid w:val="6BEC58FB"/>
    <w:rsid w:val="6C002909"/>
    <w:rsid w:val="6C085613"/>
    <w:rsid w:val="6C0B2AEB"/>
    <w:rsid w:val="6C107049"/>
    <w:rsid w:val="6C1F2F9A"/>
    <w:rsid w:val="6C2348BA"/>
    <w:rsid w:val="6C290B04"/>
    <w:rsid w:val="6C322155"/>
    <w:rsid w:val="6C325C58"/>
    <w:rsid w:val="6C380203"/>
    <w:rsid w:val="6C4A0950"/>
    <w:rsid w:val="6C4F6905"/>
    <w:rsid w:val="6C521EC2"/>
    <w:rsid w:val="6C542BDF"/>
    <w:rsid w:val="6C5C6338"/>
    <w:rsid w:val="6C667711"/>
    <w:rsid w:val="6C6E489D"/>
    <w:rsid w:val="6C716CED"/>
    <w:rsid w:val="6C753CB1"/>
    <w:rsid w:val="6C79584D"/>
    <w:rsid w:val="6CA93A7A"/>
    <w:rsid w:val="6CAC6BA0"/>
    <w:rsid w:val="6CB83211"/>
    <w:rsid w:val="6CDB746B"/>
    <w:rsid w:val="6CE9767D"/>
    <w:rsid w:val="6CEE66F1"/>
    <w:rsid w:val="6CF27EB8"/>
    <w:rsid w:val="6CF9046F"/>
    <w:rsid w:val="6CFA36E4"/>
    <w:rsid w:val="6CFC2705"/>
    <w:rsid w:val="6D020EA1"/>
    <w:rsid w:val="6D0601FD"/>
    <w:rsid w:val="6D0E0B72"/>
    <w:rsid w:val="6D151FBA"/>
    <w:rsid w:val="6D25675A"/>
    <w:rsid w:val="6D2B0C97"/>
    <w:rsid w:val="6D374915"/>
    <w:rsid w:val="6D4A3B5E"/>
    <w:rsid w:val="6D4C5826"/>
    <w:rsid w:val="6D5917F9"/>
    <w:rsid w:val="6D5B6605"/>
    <w:rsid w:val="6D5C708D"/>
    <w:rsid w:val="6D652E11"/>
    <w:rsid w:val="6D743D46"/>
    <w:rsid w:val="6D777815"/>
    <w:rsid w:val="6D7B6091"/>
    <w:rsid w:val="6D8C63A4"/>
    <w:rsid w:val="6D945FD8"/>
    <w:rsid w:val="6D982EC3"/>
    <w:rsid w:val="6DA0009B"/>
    <w:rsid w:val="6DAC5718"/>
    <w:rsid w:val="6DAD3F98"/>
    <w:rsid w:val="6DC620EB"/>
    <w:rsid w:val="6DCA3AD7"/>
    <w:rsid w:val="6DD94DBA"/>
    <w:rsid w:val="6DDD33D7"/>
    <w:rsid w:val="6E012EB9"/>
    <w:rsid w:val="6E08608B"/>
    <w:rsid w:val="6E0D6E3E"/>
    <w:rsid w:val="6E0F1211"/>
    <w:rsid w:val="6E1A00C4"/>
    <w:rsid w:val="6E1B1288"/>
    <w:rsid w:val="6E1C0D67"/>
    <w:rsid w:val="6E255AF0"/>
    <w:rsid w:val="6E307712"/>
    <w:rsid w:val="6E4454C7"/>
    <w:rsid w:val="6E4F2ED8"/>
    <w:rsid w:val="6E500591"/>
    <w:rsid w:val="6E5D3B22"/>
    <w:rsid w:val="6E70730E"/>
    <w:rsid w:val="6E732CEA"/>
    <w:rsid w:val="6E883691"/>
    <w:rsid w:val="6E89780F"/>
    <w:rsid w:val="6E97710B"/>
    <w:rsid w:val="6E993885"/>
    <w:rsid w:val="6EAD5D1C"/>
    <w:rsid w:val="6EC04DB4"/>
    <w:rsid w:val="6ED47F58"/>
    <w:rsid w:val="6EDE792B"/>
    <w:rsid w:val="6EE127CB"/>
    <w:rsid w:val="6EE203E0"/>
    <w:rsid w:val="6EE76307"/>
    <w:rsid w:val="6EF00E07"/>
    <w:rsid w:val="6EF4038C"/>
    <w:rsid w:val="6EFD066F"/>
    <w:rsid w:val="6F0069ED"/>
    <w:rsid w:val="6F0F2631"/>
    <w:rsid w:val="6F2D2A71"/>
    <w:rsid w:val="6F315FEF"/>
    <w:rsid w:val="6F351A91"/>
    <w:rsid w:val="6F3B68BD"/>
    <w:rsid w:val="6F437B7A"/>
    <w:rsid w:val="6F4B777A"/>
    <w:rsid w:val="6F4C16E1"/>
    <w:rsid w:val="6F596421"/>
    <w:rsid w:val="6F5F2796"/>
    <w:rsid w:val="6F6557AF"/>
    <w:rsid w:val="6F660453"/>
    <w:rsid w:val="6F6906A2"/>
    <w:rsid w:val="6F6B7D6A"/>
    <w:rsid w:val="6F6F53CF"/>
    <w:rsid w:val="6F9128FF"/>
    <w:rsid w:val="6F927321"/>
    <w:rsid w:val="6FA05E81"/>
    <w:rsid w:val="6FA73EC3"/>
    <w:rsid w:val="6FB07D29"/>
    <w:rsid w:val="6FB30B76"/>
    <w:rsid w:val="6FBD0858"/>
    <w:rsid w:val="6FCE3858"/>
    <w:rsid w:val="6FD33BDE"/>
    <w:rsid w:val="6FD730F1"/>
    <w:rsid w:val="6FDF2FEB"/>
    <w:rsid w:val="6FF47470"/>
    <w:rsid w:val="701A579A"/>
    <w:rsid w:val="701F11C3"/>
    <w:rsid w:val="70284224"/>
    <w:rsid w:val="70290CA1"/>
    <w:rsid w:val="702D4F20"/>
    <w:rsid w:val="70342C71"/>
    <w:rsid w:val="70412782"/>
    <w:rsid w:val="70533FD2"/>
    <w:rsid w:val="705962D8"/>
    <w:rsid w:val="705C36F5"/>
    <w:rsid w:val="705F5861"/>
    <w:rsid w:val="7089234E"/>
    <w:rsid w:val="708C3687"/>
    <w:rsid w:val="709241E9"/>
    <w:rsid w:val="70947DFF"/>
    <w:rsid w:val="70A341A3"/>
    <w:rsid w:val="70AA4FAE"/>
    <w:rsid w:val="70AB101A"/>
    <w:rsid w:val="70D31698"/>
    <w:rsid w:val="70E14A9B"/>
    <w:rsid w:val="70E60C21"/>
    <w:rsid w:val="70F6268A"/>
    <w:rsid w:val="70F825BD"/>
    <w:rsid w:val="70F93AD3"/>
    <w:rsid w:val="70FB71ED"/>
    <w:rsid w:val="710C7745"/>
    <w:rsid w:val="711549DF"/>
    <w:rsid w:val="712D2417"/>
    <w:rsid w:val="714755BB"/>
    <w:rsid w:val="715E2552"/>
    <w:rsid w:val="71615427"/>
    <w:rsid w:val="7169571A"/>
    <w:rsid w:val="71831D27"/>
    <w:rsid w:val="719712F2"/>
    <w:rsid w:val="71B90FEB"/>
    <w:rsid w:val="71CC18A4"/>
    <w:rsid w:val="71D0079C"/>
    <w:rsid w:val="71DB018E"/>
    <w:rsid w:val="71DB1B06"/>
    <w:rsid w:val="71DE6927"/>
    <w:rsid w:val="720721E0"/>
    <w:rsid w:val="720F732D"/>
    <w:rsid w:val="721E5A26"/>
    <w:rsid w:val="721F07CB"/>
    <w:rsid w:val="72367EEE"/>
    <w:rsid w:val="72373C05"/>
    <w:rsid w:val="724C04FD"/>
    <w:rsid w:val="725306B2"/>
    <w:rsid w:val="726170B9"/>
    <w:rsid w:val="726B305C"/>
    <w:rsid w:val="727E61E5"/>
    <w:rsid w:val="728C33A3"/>
    <w:rsid w:val="72956BD9"/>
    <w:rsid w:val="729754C6"/>
    <w:rsid w:val="729A10DF"/>
    <w:rsid w:val="72B20BBC"/>
    <w:rsid w:val="72B95F27"/>
    <w:rsid w:val="72BE0AA9"/>
    <w:rsid w:val="72BF4B7B"/>
    <w:rsid w:val="72C92765"/>
    <w:rsid w:val="72CC6023"/>
    <w:rsid w:val="72E1752D"/>
    <w:rsid w:val="72E33846"/>
    <w:rsid w:val="72E3507A"/>
    <w:rsid w:val="730C2EF3"/>
    <w:rsid w:val="73126C8E"/>
    <w:rsid w:val="7314283A"/>
    <w:rsid w:val="7317274E"/>
    <w:rsid w:val="73186C82"/>
    <w:rsid w:val="733777F3"/>
    <w:rsid w:val="733B4404"/>
    <w:rsid w:val="7359728C"/>
    <w:rsid w:val="735D0D0B"/>
    <w:rsid w:val="7369261F"/>
    <w:rsid w:val="736C3D16"/>
    <w:rsid w:val="73725529"/>
    <w:rsid w:val="73927CE2"/>
    <w:rsid w:val="73970046"/>
    <w:rsid w:val="739775DC"/>
    <w:rsid w:val="73A015C2"/>
    <w:rsid w:val="73A913CF"/>
    <w:rsid w:val="73AE185C"/>
    <w:rsid w:val="73AF38B4"/>
    <w:rsid w:val="73B4249A"/>
    <w:rsid w:val="73B72500"/>
    <w:rsid w:val="73BA7DD1"/>
    <w:rsid w:val="73C507D1"/>
    <w:rsid w:val="73C7258A"/>
    <w:rsid w:val="73CF2401"/>
    <w:rsid w:val="73E4550B"/>
    <w:rsid w:val="73EB1497"/>
    <w:rsid w:val="73EC5779"/>
    <w:rsid w:val="73F55C17"/>
    <w:rsid w:val="74000A47"/>
    <w:rsid w:val="74054C8B"/>
    <w:rsid w:val="7429166A"/>
    <w:rsid w:val="74315F5C"/>
    <w:rsid w:val="743756D2"/>
    <w:rsid w:val="74430700"/>
    <w:rsid w:val="7443191B"/>
    <w:rsid w:val="74484526"/>
    <w:rsid w:val="744F422A"/>
    <w:rsid w:val="745953F9"/>
    <w:rsid w:val="745A1FD0"/>
    <w:rsid w:val="745B45EA"/>
    <w:rsid w:val="746E4B1B"/>
    <w:rsid w:val="74863F7B"/>
    <w:rsid w:val="74885606"/>
    <w:rsid w:val="74885BCB"/>
    <w:rsid w:val="748B171E"/>
    <w:rsid w:val="74967A7F"/>
    <w:rsid w:val="74992A22"/>
    <w:rsid w:val="749B4D6F"/>
    <w:rsid w:val="74B17B11"/>
    <w:rsid w:val="74B31C11"/>
    <w:rsid w:val="74B57A48"/>
    <w:rsid w:val="74BB6271"/>
    <w:rsid w:val="74C251FF"/>
    <w:rsid w:val="74C956E6"/>
    <w:rsid w:val="74CB0A43"/>
    <w:rsid w:val="74F11C0E"/>
    <w:rsid w:val="74F30C6A"/>
    <w:rsid w:val="74F50A5A"/>
    <w:rsid w:val="74FA3A3A"/>
    <w:rsid w:val="74FC3973"/>
    <w:rsid w:val="75081863"/>
    <w:rsid w:val="751115BE"/>
    <w:rsid w:val="751F2214"/>
    <w:rsid w:val="75232D3C"/>
    <w:rsid w:val="753A47C2"/>
    <w:rsid w:val="75414E23"/>
    <w:rsid w:val="75473397"/>
    <w:rsid w:val="75501D12"/>
    <w:rsid w:val="75580F8A"/>
    <w:rsid w:val="756268F7"/>
    <w:rsid w:val="7564563A"/>
    <w:rsid w:val="757348BE"/>
    <w:rsid w:val="75740E00"/>
    <w:rsid w:val="75765ECB"/>
    <w:rsid w:val="757F162D"/>
    <w:rsid w:val="75817219"/>
    <w:rsid w:val="759C01F0"/>
    <w:rsid w:val="75A34575"/>
    <w:rsid w:val="75AB0EDF"/>
    <w:rsid w:val="75BE31B8"/>
    <w:rsid w:val="75C55F3C"/>
    <w:rsid w:val="75C65731"/>
    <w:rsid w:val="75CC2D4E"/>
    <w:rsid w:val="75CE4DAB"/>
    <w:rsid w:val="75DE108C"/>
    <w:rsid w:val="75DE20F1"/>
    <w:rsid w:val="75E249B4"/>
    <w:rsid w:val="75F71430"/>
    <w:rsid w:val="760B3F8C"/>
    <w:rsid w:val="76116617"/>
    <w:rsid w:val="761F3067"/>
    <w:rsid w:val="763A080C"/>
    <w:rsid w:val="764D471D"/>
    <w:rsid w:val="76520020"/>
    <w:rsid w:val="765C70BB"/>
    <w:rsid w:val="76641507"/>
    <w:rsid w:val="766421E3"/>
    <w:rsid w:val="76643BD8"/>
    <w:rsid w:val="766B0C41"/>
    <w:rsid w:val="76862D91"/>
    <w:rsid w:val="76885D98"/>
    <w:rsid w:val="76981346"/>
    <w:rsid w:val="769976DB"/>
    <w:rsid w:val="76A06AA4"/>
    <w:rsid w:val="76B6375B"/>
    <w:rsid w:val="76B85CFC"/>
    <w:rsid w:val="76B95F90"/>
    <w:rsid w:val="76BB26F6"/>
    <w:rsid w:val="76BC6F32"/>
    <w:rsid w:val="76D073D0"/>
    <w:rsid w:val="76D8309B"/>
    <w:rsid w:val="76DF6548"/>
    <w:rsid w:val="76E57209"/>
    <w:rsid w:val="76EB5B39"/>
    <w:rsid w:val="76ED2AF4"/>
    <w:rsid w:val="76F81FF5"/>
    <w:rsid w:val="76FA40B9"/>
    <w:rsid w:val="76FD7244"/>
    <w:rsid w:val="77101A07"/>
    <w:rsid w:val="771478EB"/>
    <w:rsid w:val="77167A2F"/>
    <w:rsid w:val="77170772"/>
    <w:rsid w:val="771B59AD"/>
    <w:rsid w:val="77375D4C"/>
    <w:rsid w:val="773E5387"/>
    <w:rsid w:val="77461B9D"/>
    <w:rsid w:val="774E49E5"/>
    <w:rsid w:val="775372FF"/>
    <w:rsid w:val="775A5AE2"/>
    <w:rsid w:val="776B574B"/>
    <w:rsid w:val="776D6012"/>
    <w:rsid w:val="776F4F23"/>
    <w:rsid w:val="77880747"/>
    <w:rsid w:val="7796413B"/>
    <w:rsid w:val="77A01257"/>
    <w:rsid w:val="77A93491"/>
    <w:rsid w:val="77AB5948"/>
    <w:rsid w:val="77B91237"/>
    <w:rsid w:val="77BD75A0"/>
    <w:rsid w:val="77C05814"/>
    <w:rsid w:val="77C30307"/>
    <w:rsid w:val="77C91725"/>
    <w:rsid w:val="77CA6BD8"/>
    <w:rsid w:val="77E359DC"/>
    <w:rsid w:val="78021730"/>
    <w:rsid w:val="780D2952"/>
    <w:rsid w:val="78156E78"/>
    <w:rsid w:val="782D5EAF"/>
    <w:rsid w:val="784229CE"/>
    <w:rsid w:val="7849242F"/>
    <w:rsid w:val="784C342E"/>
    <w:rsid w:val="7850371B"/>
    <w:rsid w:val="78507F5A"/>
    <w:rsid w:val="78526937"/>
    <w:rsid w:val="786E6B15"/>
    <w:rsid w:val="7870711C"/>
    <w:rsid w:val="78752F9E"/>
    <w:rsid w:val="787C36F8"/>
    <w:rsid w:val="78953D22"/>
    <w:rsid w:val="789E1F25"/>
    <w:rsid w:val="789F1175"/>
    <w:rsid w:val="78A515AE"/>
    <w:rsid w:val="78A74500"/>
    <w:rsid w:val="78A7588C"/>
    <w:rsid w:val="78BE1657"/>
    <w:rsid w:val="78CB19D1"/>
    <w:rsid w:val="78D12600"/>
    <w:rsid w:val="78E02212"/>
    <w:rsid w:val="78E70867"/>
    <w:rsid w:val="78E75794"/>
    <w:rsid w:val="79021A9F"/>
    <w:rsid w:val="79065105"/>
    <w:rsid w:val="7908379E"/>
    <w:rsid w:val="79091AB2"/>
    <w:rsid w:val="790B385D"/>
    <w:rsid w:val="79166EA0"/>
    <w:rsid w:val="79310BF5"/>
    <w:rsid w:val="7931734A"/>
    <w:rsid w:val="793C27DB"/>
    <w:rsid w:val="79881C57"/>
    <w:rsid w:val="799011C2"/>
    <w:rsid w:val="799F62D7"/>
    <w:rsid w:val="79AF2036"/>
    <w:rsid w:val="79B20AC0"/>
    <w:rsid w:val="79BD46A6"/>
    <w:rsid w:val="79CA285E"/>
    <w:rsid w:val="79D866EA"/>
    <w:rsid w:val="79DC303C"/>
    <w:rsid w:val="79F542F9"/>
    <w:rsid w:val="79F82592"/>
    <w:rsid w:val="79FA0E9D"/>
    <w:rsid w:val="79FD0187"/>
    <w:rsid w:val="79FF23D3"/>
    <w:rsid w:val="7A0837CA"/>
    <w:rsid w:val="7A177534"/>
    <w:rsid w:val="7A1B0A37"/>
    <w:rsid w:val="7A1C61B3"/>
    <w:rsid w:val="7A1E1E98"/>
    <w:rsid w:val="7A37748C"/>
    <w:rsid w:val="7A420298"/>
    <w:rsid w:val="7A421B98"/>
    <w:rsid w:val="7A644F31"/>
    <w:rsid w:val="7A64596D"/>
    <w:rsid w:val="7A6B120C"/>
    <w:rsid w:val="7A6F2157"/>
    <w:rsid w:val="7A7E4E11"/>
    <w:rsid w:val="7A7F539D"/>
    <w:rsid w:val="7A8A4C53"/>
    <w:rsid w:val="7A8D23AB"/>
    <w:rsid w:val="7AAA75CF"/>
    <w:rsid w:val="7AB449E9"/>
    <w:rsid w:val="7ABD7465"/>
    <w:rsid w:val="7AC25FA0"/>
    <w:rsid w:val="7ACE6186"/>
    <w:rsid w:val="7AD72682"/>
    <w:rsid w:val="7ADB38D4"/>
    <w:rsid w:val="7AE15ECF"/>
    <w:rsid w:val="7B1212F5"/>
    <w:rsid w:val="7B1D1697"/>
    <w:rsid w:val="7B2044F7"/>
    <w:rsid w:val="7B310E5D"/>
    <w:rsid w:val="7B3626CA"/>
    <w:rsid w:val="7B3D5A4B"/>
    <w:rsid w:val="7B3F7FF2"/>
    <w:rsid w:val="7B4A246F"/>
    <w:rsid w:val="7B5363CC"/>
    <w:rsid w:val="7B706C3D"/>
    <w:rsid w:val="7B7A5E29"/>
    <w:rsid w:val="7B7E6398"/>
    <w:rsid w:val="7B894697"/>
    <w:rsid w:val="7B99287F"/>
    <w:rsid w:val="7BB00806"/>
    <w:rsid w:val="7BB30755"/>
    <w:rsid w:val="7BB435C3"/>
    <w:rsid w:val="7BB632F2"/>
    <w:rsid w:val="7BB91496"/>
    <w:rsid w:val="7BBD59A7"/>
    <w:rsid w:val="7BC84C59"/>
    <w:rsid w:val="7BDE47D1"/>
    <w:rsid w:val="7BDE48BC"/>
    <w:rsid w:val="7BE071F8"/>
    <w:rsid w:val="7BE22FEF"/>
    <w:rsid w:val="7BF13877"/>
    <w:rsid w:val="7BF97FA1"/>
    <w:rsid w:val="7C01401C"/>
    <w:rsid w:val="7C033E46"/>
    <w:rsid w:val="7C0A3CB0"/>
    <w:rsid w:val="7C0C5505"/>
    <w:rsid w:val="7C0D34E6"/>
    <w:rsid w:val="7C235683"/>
    <w:rsid w:val="7C277D26"/>
    <w:rsid w:val="7C2E219C"/>
    <w:rsid w:val="7C300EF7"/>
    <w:rsid w:val="7C30543E"/>
    <w:rsid w:val="7C306C48"/>
    <w:rsid w:val="7C355424"/>
    <w:rsid w:val="7C39133E"/>
    <w:rsid w:val="7C3928DB"/>
    <w:rsid w:val="7C47649C"/>
    <w:rsid w:val="7C4C234C"/>
    <w:rsid w:val="7C57678E"/>
    <w:rsid w:val="7C587C3D"/>
    <w:rsid w:val="7C6227A7"/>
    <w:rsid w:val="7C6E5D58"/>
    <w:rsid w:val="7C744100"/>
    <w:rsid w:val="7C782645"/>
    <w:rsid w:val="7C7B211D"/>
    <w:rsid w:val="7C807D13"/>
    <w:rsid w:val="7C88148D"/>
    <w:rsid w:val="7C8E30CF"/>
    <w:rsid w:val="7C913021"/>
    <w:rsid w:val="7CA42DF4"/>
    <w:rsid w:val="7CAA58B6"/>
    <w:rsid w:val="7CB33935"/>
    <w:rsid w:val="7CB459FD"/>
    <w:rsid w:val="7CB647E1"/>
    <w:rsid w:val="7CC400A6"/>
    <w:rsid w:val="7CC94F46"/>
    <w:rsid w:val="7CCD3892"/>
    <w:rsid w:val="7CD56340"/>
    <w:rsid w:val="7CE633C0"/>
    <w:rsid w:val="7CF20ECE"/>
    <w:rsid w:val="7CF46F55"/>
    <w:rsid w:val="7D184447"/>
    <w:rsid w:val="7D1B173D"/>
    <w:rsid w:val="7D3A0B62"/>
    <w:rsid w:val="7D4F7A1F"/>
    <w:rsid w:val="7D5866E9"/>
    <w:rsid w:val="7D5C3060"/>
    <w:rsid w:val="7D6656FF"/>
    <w:rsid w:val="7D6B7D13"/>
    <w:rsid w:val="7D7A31FA"/>
    <w:rsid w:val="7D7A3E7D"/>
    <w:rsid w:val="7D7D4BB8"/>
    <w:rsid w:val="7D87168F"/>
    <w:rsid w:val="7D8F2616"/>
    <w:rsid w:val="7D9A56EE"/>
    <w:rsid w:val="7DA75EAF"/>
    <w:rsid w:val="7DB00667"/>
    <w:rsid w:val="7DB4086F"/>
    <w:rsid w:val="7DBE1A3A"/>
    <w:rsid w:val="7DC007A4"/>
    <w:rsid w:val="7DD2691C"/>
    <w:rsid w:val="7DD3146A"/>
    <w:rsid w:val="7DD967CF"/>
    <w:rsid w:val="7DEC0A0E"/>
    <w:rsid w:val="7E283ECD"/>
    <w:rsid w:val="7E333FDB"/>
    <w:rsid w:val="7E3563A1"/>
    <w:rsid w:val="7E3842C6"/>
    <w:rsid w:val="7E610BFB"/>
    <w:rsid w:val="7E654AE8"/>
    <w:rsid w:val="7E735DA8"/>
    <w:rsid w:val="7E753CCA"/>
    <w:rsid w:val="7E8160A0"/>
    <w:rsid w:val="7E9326F9"/>
    <w:rsid w:val="7E9D42A8"/>
    <w:rsid w:val="7ECA307F"/>
    <w:rsid w:val="7EDF53FA"/>
    <w:rsid w:val="7EE06661"/>
    <w:rsid w:val="7EE10C39"/>
    <w:rsid w:val="7EE20452"/>
    <w:rsid w:val="7EE24450"/>
    <w:rsid w:val="7EEF2649"/>
    <w:rsid w:val="7EF5062D"/>
    <w:rsid w:val="7F0A79A1"/>
    <w:rsid w:val="7F0D4874"/>
    <w:rsid w:val="7F0E6A25"/>
    <w:rsid w:val="7F1F72B1"/>
    <w:rsid w:val="7F2A4BF2"/>
    <w:rsid w:val="7F30711B"/>
    <w:rsid w:val="7F333AFF"/>
    <w:rsid w:val="7F360BC8"/>
    <w:rsid w:val="7F395D9C"/>
    <w:rsid w:val="7F545E05"/>
    <w:rsid w:val="7F693B8F"/>
    <w:rsid w:val="7F696BCB"/>
    <w:rsid w:val="7F6E18F3"/>
    <w:rsid w:val="7F79468E"/>
    <w:rsid w:val="7F7E68AB"/>
    <w:rsid w:val="7FB50D1B"/>
    <w:rsid w:val="7FB63783"/>
    <w:rsid w:val="7FB820C8"/>
    <w:rsid w:val="7FBB0814"/>
    <w:rsid w:val="7FC57777"/>
    <w:rsid w:val="7FCC6389"/>
    <w:rsid w:val="7FD47A79"/>
    <w:rsid w:val="7FF0757E"/>
    <w:rsid w:val="7FF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Doc-text2"/>
    <w:basedOn w:val="1"/>
    <w:qFormat/>
    <w:uiPriority w:val="0"/>
    <w:pPr>
      <w:tabs>
        <w:tab w:val="left" w:pos="1622"/>
      </w:tabs>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0109974\Desktop\Coverage%20enhancement&#20223;&#30495;&#32467;&#265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10109974\Desktop\Coverage%20enhancement&#20223;&#30495;&#32467;&#2652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650"/>
              <a:t>Rma_700MHz_1T2R_8Repetitions_72bits</a:t>
            </a:r>
            <a:endParaRPr sz="650"/>
          </a:p>
        </c:rich>
      </c:tx>
      <c:layout/>
      <c:overlay val="0"/>
      <c:spPr>
        <a:noFill/>
        <a:ln>
          <a:noFill/>
        </a:ln>
        <a:effectLst/>
      </c:spPr>
    </c:title>
    <c:autoTitleDeleted val="0"/>
    <c:plotArea>
      <c:layout>
        <c:manualLayout>
          <c:layoutTarget val="inner"/>
          <c:xMode val="edge"/>
          <c:yMode val="edge"/>
          <c:x val="0.162100302928307"/>
          <c:y val="0.151951375559821"/>
          <c:w val="0.770918882531134"/>
          <c:h val="0.409596928982726"/>
        </c:manualLayout>
      </c:layout>
      <c:lineChart>
        <c:grouping val="standard"/>
        <c:varyColors val="0"/>
        <c:ser>
          <c:idx val="0"/>
          <c:order val="0"/>
          <c:tx>
            <c:strRef>
              <c:f>'[Coverage enhancement仿真结果.xlsx]101e新增仿真结果'!$A$806</c:f>
              <c:strCache>
                <c:ptCount val="1"/>
                <c:pt idx="0">
                  <c:v>Opiton1 with 1RBs and MCS#4,L=14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enhancement仿真结果.xlsx]101e新增仿真结果'!$B$805:$G$805</c:f>
              <c:numCache>
                <c:formatCode>General</c:formatCode>
                <c:ptCount val="6"/>
                <c:pt idx="0">
                  <c:v>-15</c:v>
                </c:pt>
                <c:pt idx="1">
                  <c:v>-13.5</c:v>
                </c:pt>
                <c:pt idx="2">
                  <c:v>-12</c:v>
                </c:pt>
                <c:pt idx="3">
                  <c:v>-10.5</c:v>
                </c:pt>
                <c:pt idx="4">
                  <c:v>-9</c:v>
                </c:pt>
                <c:pt idx="5">
                  <c:v>-7.5</c:v>
                </c:pt>
              </c:numCache>
            </c:numRef>
          </c:cat>
          <c:val>
            <c:numRef>
              <c:f>'[Coverage enhancement仿真结果.xlsx]101e新增仿真结果'!$B$806:$G$806</c:f>
              <c:numCache>
                <c:formatCode>General</c:formatCode>
                <c:ptCount val="6"/>
                <c:pt idx="0">
                  <c:v>0.91914</c:v>
                </c:pt>
                <c:pt idx="1">
                  <c:v>0.76301</c:v>
                </c:pt>
                <c:pt idx="2">
                  <c:v>0.51882</c:v>
                </c:pt>
                <c:pt idx="3">
                  <c:v>0.27542</c:v>
                </c:pt>
                <c:pt idx="4">
                  <c:v>0.11849</c:v>
                </c:pt>
                <c:pt idx="5">
                  <c:v>0.04404</c:v>
                </c:pt>
              </c:numCache>
            </c:numRef>
          </c:val>
          <c:smooth val="0"/>
        </c:ser>
        <c:ser>
          <c:idx val="1"/>
          <c:order val="1"/>
          <c:tx>
            <c:strRef>
              <c:f>'[Coverage enhancement仿真结果.xlsx]101e新增仿真结果'!$A$807</c:f>
              <c:strCache>
                <c:ptCount val="1"/>
                <c:pt idx="0">
                  <c:v>Option2 with 2RBs and MCS#1,L=14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enhancement仿真结果.xlsx]101e新增仿真结果'!$B$805:$G$805</c:f>
              <c:numCache>
                <c:formatCode>General</c:formatCode>
                <c:ptCount val="6"/>
                <c:pt idx="0">
                  <c:v>-15</c:v>
                </c:pt>
                <c:pt idx="1">
                  <c:v>-13.5</c:v>
                </c:pt>
                <c:pt idx="2">
                  <c:v>-12</c:v>
                </c:pt>
                <c:pt idx="3">
                  <c:v>-10.5</c:v>
                </c:pt>
                <c:pt idx="4">
                  <c:v>-9</c:v>
                </c:pt>
                <c:pt idx="5">
                  <c:v>-7.5</c:v>
                </c:pt>
              </c:numCache>
            </c:numRef>
          </c:cat>
          <c:val>
            <c:numRef>
              <c:f>'[Coverage enhancement仿真结果.xlsx]101e新增仿真结果'!$B$807:$G$807</c:f>
              <c:numCache>
                <c:formatCode>General</c:formatCode>
                <c:ptCount val="6"/>
                <c:pt idx="0">
                  <c:v>0.57566</c:v>
                </c:pt>
                <c:pt idx="1">
                  <c:v>0.30344</c:v>
                </c:pt>
                <c:pt idx="2">
                  <c:v>0.13691</c:v>
                </c:pt>
                <c:pt idx="3">
                  <c:v>0.05765</c:v>
                </c:pt>
              </c:numCache>
            </c:numRef>
          </c:val>
          <c:smooth val="0"/>
        </c:ser>
        <c:ser>
          <c:idx val="2"/>
          <c:order val="2"/>
          <c:tx>
            <c:strRef>
              <c:f>'[Coverage enhancement仿真结果.xlsx]101e新增仿真结果'!$A$810</c:f>
              <c:strCache>
                <c:ptCount val="1"/>
                <c:pt idx="0">
                  <c:v>Opiton1 with 1RBs and MCS#5,L=12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enhancement仿真结果.xlsx]101e新增仿真结果'!$B$805:$G$805</c:f>
              <c:numCache>
                <c:formatCode>General</c:formatCode>
                <c:ptCount val="6"/>
                <c:pt idx="0">
                  <c:v>-15</c:v>
                </c:pt>
                <c:pt idx="1">
                  <c:v>-13.5</c:v>
                </c:pt>
                <c:pt idx="2">
                  <c:v>-12</c:v>
                </c:pt>
                <c:pt idx="3">
                  <c:v>-10.5</c:v>
                </c:pt>
                <c:pt idx="4">
                  <c:v>-9</c:v>
                </c:pt>
                <c:pt idx="5">
                  <c:v>-7.5</c:v>
                </c:pt>
              </c:numCache>
            </c:numRef>
          </c:cat>
          <c:val>
            <c:numRef>
              <c:f>'[Coverage enhancement仿真结果.xlsx]101e新增仿真结果'!$B$810:$G$810</c:f>
              <c:numCache>
                <c:formatCode>General</c:formatCode>
                <c:ptCount val="6"/>
                <c:pt idx="0">
                  <c:v>0.94796</c:v>
                </c:pt>
                <c:pt idx="1">
                  <c:v>0.83507</c:v>
                </c:pt>
                <c:pt idx="2">
                  <c:v>0.6285</c:v>
                </c:pt>
                <c:pt idx="3">
                  <c:v>0.3739</c:v>
                </c:pt>
                <c:pt idx="4">
                  <c:v>0.16093</c:v>
                </c:pt>
                <c:pt idx="5">
                  <c:v>0.07126</c:v>
                </c:pt>
              </c:numCache>
            </c:numRef>
          </c:val>
          <c:smooth val="0"/>
        </c:ser>
        <c:ser>
          <c:idx val="3"/>
          <c:order val="3"/>
          <c:tx>
            <c:strRef>
              <c:f>'[Coverage enhancement仿真结果.xlsx]101e新增仿真结果'!$A$811</c:f>
              <c:strCache>
                <c:ptCount val="1"/>
                <c:pt idx="0">
                  <c:v>Option2 with 3RBs and MCS#0,L=12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enhancement仿真结果.xlsx]101e新增仿真结果'!$B$805:$G$805</c:f>
              <c:numCache>
                <c:formatCode>General</c:formatCode>
                <c:ptCount val="6"/>
                <c:pt idx="0">
                  <c:v>-15</c:v>
                </c:pt>
                <c:pt idx="1">
                  <c:v>-13.5</c:v>
                </c:pt>
                <c:pt idx="2">
                  <c:v>-12</c:v>
                </c:pt>
                <c:pt idx="3">
                  <c:v>-10.5</c:v>
                </c:pt>
                <c:pt idx="4">
                  <c:v>-9</c:v>
                </c:pt>
                <c:pt idx="5">
                  <c:v>-7.5</c:v>
                </c:pt>
              </c:numCache>
            </c:numRef>
          </c:cat>
          <c:val>
            <c:numRef>
              <c:f>'[Coverage enhancement仿真结果.xlsx]101e新增仿真结果'!$B$811:$G$811</c:f>
              <c:numCache>
                <c:formatCode>General</c:formatCode>
                <c:ptCount val="6"/>
                <c:pt idx="0">
                  <c:v>0.41873</c:v>
                </c:pt>
                <c:pt idx="1">
                  <c:v>0.20416</c:v>
                </c:pt>
                <c:pt idx="2">
                  <c:v>0.09207</c:v>
                </c:pt>
              </c:numCache>
            </c:numRef>
          </c:val>
          <c:smooth val="0"/>
        </c:ser>
        <c:dLbls>
          <c:showLegendKey val="0"/>
          <c:showVal val="0"/>
          <c:showCatName val="0"/>
          <c:showSerName val="0"/>
          <c:showPercent val="0"/>
          <c:showBubbleSize val="0"/>
        </c:dLbls>
        <c:marker val="1"/>
        <c:smooth val="0"/>
        <c:axId val="212682219"/>
        <c:axId val="260991901"/>
      </c:lineChart>
      <c:catAx>
        <c:axId val="212682219"/>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260991901"/>
        <c:crossesAt val="0"/>
        <c:auto val="1"/>
        <c:lblAlgn val="ctr"/>
        <c:lblOffset val="100"/>
        <c:noMultiLvlLbl val="0"/>
      </c:catAx>
      <c:valAx>
        <c:axId val="26099190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212682219"/>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650" b="0" i="0" u="none" strike="noStrike" kern="1200" spc="0" baseline="0">
                <a:solidFill>
                  <a:schemeClr val="tx1">
                    <a:lumMod val="65000"/>
                    <a:lumOff val="35000"/>
                  </a:schemeClr>
                </a:solidFill>
                <a:latin typeface="+mn-lt"/>
                <a:ea typeface="+mn-ea"/>
                <a:cs typeface="+mn-cs"/>
              </a:defRPr>
            </a:pPr>
            <a:r>
              <a:rPr sz="650"/>
              <a:t>Rma_700MHz_1T2R_8Repetition</a:t>
            </a:r>
            <a:r>
              <a:rPr lang="en-US" altLang="zh-CN" sz="650"/>
              <a:t>s</a:t>
            </a:r>
            <a:r>
              <a:rPr sz="650"/>
              <a:t>_144bits</a:t>
            </a:r>
            <a:endParaRPr sz="650"/>
          </a:p>
        </c:rich>
      </c:tx>
      <c:layout>
        <c:manualLayout>
          <c:xMode val="edge"/>
          <c:yMode val="edge"/>
          <c:x val="0.0919636852723605"/>
          <c:y val="0.025372660957818"/>
        </c:manualLayout>
      </c:layout>
      <c:overlay val="0"/>
      <c:spPr>
        <a:noFill/>
        <a:ln>
          <a:noFill/>
        </a:ln>
        <a:effectLst/>
      </c:spPr>
    </c:title>
    <c:autoTitleDeleted val="0"/>
    <c:plotArea>
      <c:layout>
        <c:manualLayout>
          <c:layoutTarget val="inner"/>
          <c:xMode val="edge"/>
          <c:yMode val="edge"/>
          <c:x val="0.154539340954943"/>
          <c:y val="0.153821757056771"/>
          <c:w val="0.771486213853396"/>
          <c:h val="0.399746273390422"/>
        </c:manualLayout>
      </c:layout>
      <c:lineChart>
        <c:grouping val="standard"/>
        <c:varyColors val="0"/>
        <c:ser>
          <c:idx val="0"/>
          <c:order val="0"/>
          <c:tx>
            <c:strRef>
              <c:f>'[Coverage enhancement仿真结果.xlsx]101e新增仿真结果'!$A$815</c:f>
              <c:strCache>
                <c:ptCount val="1"/>
                <c:pt idx="0">
                  <c:v>Opiton1 with 2RBs and MCS#4,L=14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enhancement仿真结果.xlsx]101e新增仿真结果'!$B$814:$G$814</c:f>
              <c:numCache>
                <c:formatCode>General</c:formatCode>
                <c:ptCount val="6"/>
                <c:pt idx="0">
                  <c:v>-15</c:v>
                </c:pt>
                <c:pt idx="1">
                  <c:v>-13.5</c:v>
                </c:pt>
                <c:pt idx="2">
                  <c:v>-12</c:v>
                </c:pt>
                <c:pt idx="3">
                  <c:v>-10.5</c:v>
                </c:pt>
                <c:pt idx="4">
                  <c:v>-9</c:v>
                </c:pt>
                <c:pt idx="5">
                  <c:v>-7.5</c:v>
                </c:pt>
              </c:numCache>
            </c:numRef>
          </c:cat>
          <c:val>
            <c:numRef>
              <c:f>'[Coverage enhancement仿真结果.xlsx]101e新增仿真结果'!$B$815:$G$815</c:f>
              <c:numCache>
                <c:formatCode>General</c:formatCode>
                <c:ptCount val="6"/>
                <c:pt idx="0">
                  <c:v>0.91033</c:v>
                </c:pt>
                <c:pt idx="1">
                  <c:v>0.7478</c:v>
                </c:pt>
                <c:pt idx="2">
                  <c:v>0.48439</c:v>
                </c:pt>
                <c:pt idx="3">
                  <c:v>0.2466</c:v>
                </c:pt>
                <c:pt idx="4">
                  <c:v>0.10889</c:v>
                </c:pt>
                <c:pt idx="5">
                  <c:v>0.04644</c:v>
                </c:pt>
              </c:numCache>
            </c:numRef>
          </c:val>
          <c:smooth val="0"/>
        </c:ser>
        <c:ser>
          <c:idx val="1"/>
          <c:order val="1"/>
          <c:tx>
            <c:strRef>
              <c:f>'[Coverage enhancement仿真结果.xlsx]101e新增仿真结果'!$A$816</c:f>
              <c:strCache>
                <c:ptCount val="1"/>
                <c:pt idx="0">
                  <c:v>Option2 with 4RBs and MCS#1,L=14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enhancement仿真结果.xlsx]101e新增仿真结果'!$B$814:$G$814</c:f>
              <c:numCache>
                <c:formatCode>General</c:formatCode>
                <c:ptCount val="6"/>
                <c:pt idx="0">
                  <c:v>-15</c:v>
                </c:pt>
                <c:pt idx="1">
                  <c:v>-13.5</c:v>
                </c:pt>
                <c:pt idx="2">
                  <c:v>-12</c:v>
                </c:pt>
                <c:pt idx="3">
                  <c:v>-10.5</c:v>
                </c:pt>
                <c:pt idx="4">
                  <c:v>-9</c:v>
                </c:pt>
                <c:pt idx="5">
                  <c:v>-7.5</c:v>
                </c:pt>
              </c:numCache>
            </c:numRef>
          </c:cat>
          <c:val>
            <c:numRef>
              <c:f>'[Coverage enhancement仿真结果.xlsx]101e新增仿真结果'!$B$816:$G$816</c:f>
              <c:numCache>
                <c:formatCode>General</c:formatCode>
                <c:ptCount val="6"/>
                <c:pt idx="0">
                  <c:v>0.52682</c:v>
                </c:pt>
                <c:pt idx="1">
                  <c:v>0.28903</c:v>
                </c:pt>
                <c:pt idx="2">
                  <c:v>0.1281</c:v>
                </c:pt>
                <c:pt idx="3">
                  <c:v>0.05685</c:v>
                </c:pt>
              </c:numCache>
            </c:numRef>
          </c:val>
          <c:smooth val="0"/>
        </c:ser>
        <c:ser>
          <c:idx val="2"/>
          <c:order val="2"/>
          <c:tx>
            <c:strRef>
              <c:f>'[Coverage enhancement仿真结果.xlsx]101e新增仿真结果'!$A$819</c:f>
              <c:strCache>
                <c:ptCount val="1"/>
                <c:pt idx="0">
                  <c:v>Opiton1 with 2RBs and MCS#5,L=12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enhancement仿真结果.xlsx]101e新增仿真结果'!$B$814:$G$814</c:f>
              <c:numCache>
                <c:formatCode>General</c:formatCode>
                <c:ptCount val="6"/>
                <c:pt idx="0">
                  <c:v>-15</c:v>
                </c:pt>
                <c:pt idx="1">
                  <c:v>-13.5</c:v>
                </c:pt>
                <c:pt idx="2">
                  <c:v>-12</c:v>
                </c:pt>
                <c:pt idx="3">
                  <c:v>-10.5</c:v>
                </c:pt>
                <c:pt idx="4">
                  <c:v>-9</c:v>
                </c:pt>
                <c:pt idx="5">
                  <c:v>-7.5</c:v>
                </c:pt>
              </c:numCache>
            </c:numRef>
          </c:cat>
          <c:val>
            <c:numRef>
              <c:f>'[Coverage enhancement仿真结果.xlsx]101e新增仿真结果'!$B$819:$G$819</c:f>
              <c:numCache>
                <c:formatCode>General</c:formatCode>
                <c:ptCount val="6"/>
                <c:pt idx="0">
                  <c:v>0.95596</c:v>
                </c:pt>
                <c:pt idx="1">
                  <c:v>0.83747</c:v>
                </c:pt>
                <c:pt idx="2">
                  <c:v>0.6213</c:v>
                </c:pt>
                <c:pt idx="3">
                  <c:v>0.33867</c:v>
                </c:pt>
                <c:pt idx="4">
                  <c:v>0.16013</c:v>
                </c:pt>
                <c:pt idx="5">
                  <c:v>0.07126</c:v>
                </c:pt>
              </c:numCache>
            </c:numRef>
          </c:val>
          <c:smooth val="0"/>
        </c:ser>
        <c:ser>
          <c:idx val="3"/>
          <c:order val="3"/>
          <c:tx>
            <c:strRef>
              <c:f>'[Coverage enhancement仿真结果.xlsx]101e新增仿真结果'!$A$820</c:f>
              <c:strCache>
                <c:ptCount val="1"/>
                <c:pt idx="0">
                  <c:v>Option2 with 6RBs and MCS#0,L=12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enhancement仿真结果.xlsx]101e新增仿真结果'!$B$814:$G$814</c:f>
              <c:numCache>
                <c:formatCode>General</c:formatCode>
                <c:ptCount val="6"/>
                <c:pt idx="0">
                  <c:v>-15</c:v>
                </c:pt>
                <c:pt idx="1">
                  <c:v>-13.5</c:v>
                </c:pt>
                <c:pt idx="2">
                  <c:v>-12</c:v>
                </c:pt>
                <c:pt idx="3">
                  <c:v>-10.5</c:v>
                </c:pt>
                <c:pt idx="4">
                  <c:v>-9</c:v>
                </c:pt>
                <c:pt idx="5">
                  <c:v>-7.5</c:v>
                </c:pt>
              </c:numCache>
            </c:numRef>
          </c:cat>
          <c:val>
            <c:numRef>
              <c:f>'[Coverage enhancement仿真结果.xlsx]101e新增仿真结果'!$B$820:$G$820</c:f>
              <c:numCache>
                <c:formatCode>General</c:formatCode>
                <c:ptCount val="6"/>
                <c:pt idx="0">
                  <c:v>0.3747</c:v>
                </c:pt>
                <c:pt idx="1">
                  <c:v>0.17214</c:v>
                </c:pt>
                <c:pt idx="2">
                  <c:v>0.07526</c:v>
                </c:pt>
              </c:numCache>
            </c:numRef>
          </c:val>
          <c:smooth val="0"/>
        </c:ser>
        <c:dLbls>
          <c:showLegendKey val="0"/>
          <c:showVal val="0"/>
          <c:showCatName val="0"/>
          <c:showSerName val="0"/>
          <c:showPercent val="0"/>
          <c:showBubbleSize val="0"/>
        </c:dLbls>
        <c:marker val="1"/>
        <c:smooth val="0"/>
        <c:axId val="331591683"/>
        <c:axId val="235359440"/>
      </c:lineChart>
      <c:catAx>
        <c:axId val="331591683"/>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235359440"/>
        <c:crossesAt val="0"/>
        <c:auto val="1"/>
        <c:lblAlgn val="ctr"/>
        <c:lblOffset val="100"/>
        <c:noMultiLvlLbl val="0"/>
      </c:catAx>
      <c:valAx>
        <c:axId val="235359440"/>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331591683"/>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650" b="0" i="0" u="none" strike="noStrike" kern="1200" spc="0" baseline="0">
                <a:solidFill>
                  <a:schemeClr val="tx1">
                    <a:lumMod val="65000"/>
                    <a:lumOff val="35000"/>
                  </a:schemeClr>
                </a:solidFill>
                <a:latin typeface="+mn-lt"/>
                <a:ea typeface="+mn-ea"/>
                <a:cs typeface="+mn-cs"/>
              </a:defRPr>
            </a:pPr>
            <a:r>
              <a:rPr sz="650"/>
              <a:t>Rma_700MHz_1T2R_8Repetitions_208bits</a:t>
            </a:r>
            <a:endParaRPr sz="650"/>
          </a:p>
        </c:rich>
      </c:tx>
      <c:layout/>
      <c:overlay val="0"/>
      <c:spPr>
        <a:noFill/>
        <a:ln>
          <a:noFill/>
        </a:ln>
        <a:effectLst/>
      </c:spPr>
    </c:title>
    <c:autoTitleDeleted val="0"/>
    <c:plotArea>
      <c:layout>
        <c:manualLayout>
          <c:layoutTarget val="inner"/>
          <c:xMode val="edge"/>
          <c:yMode val="edge"/>
          <c:x val="0.151513113651648"/>
          <c:y val="0.155954631379962"/>
          <c:w val="0.774512441156691"/>
          <c:h val="0.419155639571519"/>
        </c:manualLayout>
      </c:layout>
      <c:lineChart>
        <c:grouping val="standard"/>
        <c:varyColors val="0"/>
        <c:ser>
          <c:idx val="0"/>
          <c:order val="0"/>
          <c:tx>
            <c:strRef>
              <c:f>'[Coverage enhancement仿真结果.xlsx]101e新增仿真结果'!$A$824</c:f>
              <c:strCache>
                <c:ptCount val="1"/>
                <c:pt idx="0">
                  <c:v>Opiton1 with 2RBs and MCS#6,L=14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enhancement仿真结果.xlsx]101e新增仿真结果'!$B$823:$H$823</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enhancement仿真结果.xlsx]101e新增仿真结果'!$B$824:$H$824</c:f>
              <c:numCache>
                <c:formatCode>General</c:formatCode>
                <c:ptCount val="7"/>
                <c:pt idx="0">
                  <c:v>0.98399</c:v>
                </c:pt>
                <c:pt idx="1">
                  <c:v>0.93435</c:v>
                </c:pt>
                <c:pt idx="2">
                  <c:v>0.78543</c:v>
                </c:pt>
                <c:pt idx="3">
                  <c:v>0.52602</c:v>
                </c:pt>
                <c:pt idx="4">
                  <c:v>0.28663</c:v>
                </c:pt>
                <c:pt idx="5">
                  <c:v>0.1305</c:v>
                </c:pt>
                <c:pt idx="6">
                  <c:v>0.05124</c:v>
                </c:pt>
              </c:numCache>
            </c:numRef>
          </c:val>
          <c:smooth val="0"/>
        </c:ser>
        <c:ser>
          <c:idx val="1"/>
          <c:order val="1"/>
          <c:tx>
            <c:strRef>
              <c:f>'[Coverage enhancement仿真结果.xlsx]101e新增仿真结果'!$A$825</c:f>
              <c:strCache>
                <c:ptCount val="1"/>
                <c:pt idx="0">
                  <c:v>Option2 with 5RBs and MCS#1,L=14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enhancement仿真结果.xlsx]101e新增仿真结果'!$B$823:$H$823</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enhancement仿真结果.xlsx]101e新增仿真结果'!$B$825:$H$825</c:f>
              <c:numCache>
                <c:formatCode>General</c:formatCode>
                <c:ptCount val="7"/>
                <c:pt idx="0">
                  <c:v>0.66053</c:v>
                </c:pt>
                <c:pt idx="1">
                  <c:v>0.39712</c:v>
                </c:pt>
                <c:pt idx="2">
                  <c:v>0.18255</c:v>
                </c:pt>
                <c:pt idx="3">
                  <c:v>0.08487</c:v>
                </c:pt>
              </c:numCache>
            </c:numRef>
          </c:val>
          <c:smooth val="0"/>
        </c:ser>
        <c:ser>
          <c:idx val="2"/>
          <c:order val="2"/>
          <c:tx>
            <c:strRef>
              <c:f>'[Coverage enhancement仿真结果.xlsx]101e新增仿真结果'!$A$828</c:f>
              <c:strCache>
                <c:ptCount val="1"/>
                <c:pt idx="0">
                  <c:v>Opiton1 with 2RBs and MCS#7,L=12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enhancement仿真结果.xlsx]101e新增仿真结果'!$B$823:$H$823</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enhancement仿真结果.xlsx]101e新增仿真结果'!$B$828:$H$828</c:f>
              <c:numCache>
                <c:formatCode>General</c:formatCode>
                <c:ptCount val="7"/>
                <c:pt idx="0">
                  <c:v>0.98799</c:v>
                </c:pt>
                <c:pt idx="1">
                  <c:v>0.96477</c:v>
                </c:pt>
                <c:pt idx="2">
                  <c:v>0.8743</c:v>
                </c:pt>
                <c:pt idx="3">
                  <c:v>0.65653</c:v>
                </c:pt>
                <c:pt idx="4">
                  <c:v>0.39872</c:v>
                </c:pt>
                <c:pt idx="5">
                  <c:v>0.18815</c:v>
                </c:pt>
                <c:pt idx="6">
                  <c:v>0.08727</c:v>
                </c:pt>
              </c:numCache>
            </c:numRef>
          </c:val>
          <c:smooth val="0"/>
        </c:ser>
        <c:ser>
          <c:idx val="3"/>
          <c:order val="3"/>
          <c:tx>
            <c:strRef>
              <c:f>'[Coverage enhancement仿真结果.xlsx]101e新增仿真结果'!$A$829</c:f>
              <c:strCache>
                <c:ptCount val="1"/>
                <c:pt idx="0">
                  <c:v>Option2 with 7RBs and MCS#1,L=12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enhancement仿真结果.xlsx]101e新增仿真结果'!$B$823:$H$823</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enhancement仿真结果.xlsx]101e新增仿真结果'!$B$829:$H$829</c:f>
              <c:numCache>
                <c:formatCode>General</c:formatCode>
                <c:ptCount val="7"/>
                <c:pt idx="0">
                  <c:v>0.55805</c:v>
                </c:pt>
                <c:pt idx="1">
                  <c:v>0.30905</c:v>
                </c:pt>
                <c:pt idx="2">
                  <c:v>0.13371</c:v>
                </c:pt>
                <c:pt idx="3">
                  <c:v>0.05524</c:v>
                </c:pt>
              </c:numCache>
            </c:numRef>
          </c:val>
          <c:smooth val="0"/>
        </c:ser>
        <c:dLbls>
          <c:showLegendKey val="0"/>
          <c:showVal val="0"/>
          <c:showCatName val="0"/>
          <c:showSerName val="0"/>
          <c:showPercent val="0"/>
          <c:showBubbleSize val="0"/>
        </c:dLbls>
        <c:marker val="1"/>
        <c:smooth val="0"/>
        <c:axId val="767307910"/>
        <c:axId val="905027611"/>
      </c:lineChart>
      <c:catAx>
        <c:axId val="767307910"/>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905027611"/>
        <c:crossesAt val="0"/>
        <c:auto val="1"/>
        <c:lblAlgn val="ctr"/>
        <c:lblOffset val="100"/>
        <c:noMultiLvlLbl val="0"/>
      </c:catAx>
      <c:valAx>
        <c:axId val="90502761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767307910"/>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650" b="0" i="0" u="none" strike="noStrike" kern="1200" spc="0" baseline="0">
                <a:solidFill>
                  <a:schemeClr val="tx1">
                    <a:lumMod val="65000"/>
                    <a:lumOff val="35000"/>
                  </a:schemeClr>
                </a:solidFill>
                <a:latin typeface="+mn-lt"/>
                <a:ea typeface="+mn-ea"/>
                <a:cs typeface="+mn-cs"/>
              </a:defRPr>
            </a:pPr>
            <a:r>
              <a:rPr sz="650"/>
              <a:t>Uma_4GHz_1T4R_4Repetition</a:t>
            </a:r>
            <a:r>
              <a:rPr lang="en-US" altLang="zh-CN" sz="650"/>
              <a:t>s</a:t>
            </a:r>
            <a:r>
              <a:rPr sz="650"/>
              <a:t>_72bits</a:t>
            </a:r>
            <a:endParaRPr sz="650"/>
          </a:p>
        </c:rich>
      </c:tx>
      <c:layout/>
      <c:overlay val="0"/>
      <c:spPr>
        <a:noFill/>
        <a:ln>
          <a:noFill/>
        </a:ln>
        <a:effectLst/>
      </c:spPr>
    </c:title>
    <c:autoTitleDeleted val="0"/>
    <c:plotArea>
      <c:layout>
        <c:manualLayout>
          <c:layoutTarget val="inner"/>
          <c:xMode val="edge"/>
          <c:yMode val="edge"/>
          <c:x val="0.127975790181574"/>
          <c:y val="0.13890808569454"/>
          <c:w val="0.82763954270343"/>
          <c:h val="0.425846579129233"/>
        </c:manualLayout>
      </c:layout>
      <c:lineChart>
        <c:grouping val="standard"/>
        <c:varyColors val="0"/>
        <c:ser>
          <c:idx val="0"/>
          <c:order val="0"/>
          <c:tx>
            <c:strRef>
              <c:f>'[Coverage enhancement仿真结果.xlsx]101e新增仿真结果'!$A$783</c:f>
              <c:strCache>
                <c:ptCount val="1"/>
                <c:pt idx="0">
                  <c:v>Opiton1 with 1RBs and MCS#4,L=14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enhancement仿真结果.xlsx]101e新增仿真结果'!$B$782:$G$782</c:f>
              <c:numCache>
                <c:formatCode>General</c:formatCode>
                <c:ptCount val="6"/>
                <c:pt idx="0">
                  <c:v>-15</c:v>
                </c:pt>
                <c:pt idx="1">
                  <c:v>-13.5</c:v>
                </c:pt>
                <c:pt idx="2">
                  <c:v>-12</c:v>
                </c:pt>
                <c:pt idx="3">
                  <c:v>-10.5</c:v>
                </c:pt>
                <c:pt idx="4">
                  <c:v>-9</c:v>
                </c:pt>
                <c:pt idx="5">
                  <c:v>-7.5</c:v>
                </c:pt>
              </c:numCache>
            </c:numRef>
          </c:cat>
          <c:val>
            <c:numRef>
              <c:f>'[Coverage enhancement仿真结果.xlsx]101e新增仿真结果'!$B$783:$G$783</c:f>
              <c:numCache>
                <c:formatCode>General</c:formatCode>
                <c:ptCount val="6"/>
                <c:pt idx="0">
                  <c:v>0.96958</c:v>
                </c:pt>
                <c:pt idx="1">
                  <c:v>0.83507</c:v>
                </c:pt>
                <c:pt idx="2">
                  <c:v>0.58847</c:v>
                </c:pt>
                <c:pt idx="3">
                  <c:v>0.29784</c:v>
                </c:pt>
                <c:pt idx="4">
                  <c:v>0.10929</c:v>
                </c:pt>
                <c:pt idx="5">
                  <c:v>0.04043</c:v>
                </c:pt>
              </c:numCache>
            </c:numRef>
          </c:val>
          <c:smooth val="0"/>
        </c:ser>
        <c:ser>
          <c:idx val="1"/>
          <c:order val="1"/>
          <c:tx>
            <c:strRef>
              <c:f>'[Coverage enhancement仿真结果.xlsx]101e新增仿真结果'!$A$784</c:f>
              <c:strCache>
                <c:ptCount val="1"/>
                <c:pt idx="0">
                  <c:v>Option2 with 2RBs and MCS#1,L=14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enhancement仿真结果.xlsx]101e新增仿真结果'!$B$782:$G$782</c:f>
              <c:numCache>
                <c:formatCode>General</c:formatCode>
                <c:ptCount val="6"/>
                <c:pt idx="0">
                  <c:v>-15</c:v>
                </c:pt>
                <c:pt idx="1">
                  <c:v>-13.5</c:v>
                </c:pt>
                <c:pt idx="2">
                  <c:v>-12</c:v>
                </c:pt>
                <c:pt idx="3">
                  <c:v>-10.5</c:v>
                </c:pt>
                <c:pt idx="4">
                  <c:v>-9</c:v>
                </c:pt>
                <c:pt idx="5">
                  <c:v>-7.5</c:v>
                </c:pt>
              </c:numCache>
            </c:numRef>
          </c:cat>
          <c:val>
            <c:numRef>
              <c:f>'[Coverage enhancement仿真结果.xlsx]101e新增仿真结果'!$B$784:$G$784</c:f>
              <c:numCache>
                <c:formatCode>General</c:formatCode>
                <c:ptCount val="6"/>
                <c:pt idx="0">
                  <c:v>0.57966</c:v>
                </c:pt>
                <c:pt idx="1">
                  <c:v>0.27942</c:v>
                </c:pt>
                <c:pt idx="2">
                  <c:v>0.10488</c:v>
                </c:pt>
                <c:pt idx="3">
                  <c:v>0.03483</c:v>
                </c:pt>
              </c:numCache>
            </c:numRef>
          </c:val>
          <c:smooth val="0"/>
        </c:ser>
        <c:ser>
          <c:idx val="2"/>
          <c:order val="2"/>
          <c:tx>
            <c:strRef>
              <c:f>'[Coverage enhancement仿真结果.xlsx]101e新增仿真结果'!$A$785</c:f>
              <c:strCache>
                <c:ptCount val="1"/>
                <c:pt idx="0">
                  <c:v>Opiton1 with 1RBs and MCS#5,L=12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enhancement仿真结果.xlsx]101e新增仿真结果'!$B$782:$G$782</c:f>
              <c:numCache>
                <c:formatCode>General</c:formatCode>
                <c:ptCount val="6"/>
                <c:pt idx="0">
                  <c:v>-15</c:v>
                </c:pt>
                <c:pt idx="1">
                  <c:v>-13.5</c:v>
                </c:pt>
                <c:pt idx="2">
                  <c:v>-12</c:v>
                </c:pt>
                <c:pt idx="3">
                  <c:v>-10.5</c:v>
                </c:pt>
                <c:pt idx="4">
                  <c:v>-9</c:v>
                </c:pt>
                <c:pt idx="5">
                  <c:v>-7.5</c:v>
                </c:pt>
              </c:numCache>
            </c:numRef>
          </c:cat>
          <c:val>
            <c:numRef>
              <c:f>'[Coverage enhancement仿真结果.xlsx]101e新增仿真结果'!$B$785:$G$785</c:f>
              <c:numCache>
                <c:formatCode>General</c:formatCode>
                <c:ptCount val="6"/>
                <c:pt idx="0">
                  <c:v>0.97998</c:v>
                </c:pt>
                <c:pt idx="1">
                  <c:v>0.90272</c:v>
                </c:pt>
                <c:pt idx="2">
                  <c:v>0.68775</c:v>
                </c:pt>
                <c:pt idx="3">
                  <c:v>0.38191</c:v>
                </c:pt>
                <c:pt idx="4">
                  <c:v>0.15933</c:v>
                </c:pt>
                <c:pt idx="5">
                  <c:v>0.05444</c:v>
                </c:pt>
              </c:numCache>
            </c:numRef>
          </c:val>
          <c:smooth val="0"/>
        </c:ser>
        <c:ser>
          <c:idx val="3"/>
          <c:order val="3"/>
          <c:tx>
            <c:strRef>
              <c:f>'[Coverage enhancement仿真结果.xlsx]101e新增仿真结果'!$A$786</c:f>
              <c:strCache>
                <c:ptCount val="1"/>
                <c:pt idx="0">
                  <c:v>Option2 with 3RBs and MCS#0,L=12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enhancement仿真结果.xlsx]101e新增仿真结果'!$B$782:$G$782</c:f>
              <c:numCache>
                <c:formatCode>General</c:formatCode>
                <c:ptCount val="6"/>
                <c:pt idx="0">
                  <c:v>-15</c:v>
                </c:pt>
                <c:pt idx="1">
                  <c:v>-13.5</c:v>
                </c:pt>
                <c:pt idx="2">
                  <c:v>-12</c:v>
                </c:pt>
                <c:pt idx="3">
                  <c:v>-10.5</c:v>
                </c:pt>
                <c:pt idx="4">
                  <c:v>-9</c:v>
                </c:pt>
                <c:pt idx="5">
                  <c:v>-7.5</c:v>
                </c:pt>
              </c:numCache>
            </c:numRef>
          </c:cat>
          <c:val>
            <c:numRef>
              <c:f>'[Coverage enhancement仿真结果.xlsx]101e新增仿真结果'!$B$786:$G$786</c:f>
              <c:numCache>
                <c:formatCode>General</c:formatCode>
                <c:ptCount val="6"/>
                <c:pt idx="0">
                  <c:v>0.38231</c:v>
                </c:pt>
                <c:pt idx="1">
                  <c:v>0.16533</c:v>
                </c:pt>
                <c:pt idx="2">
                  <c:v>0.05284</c:v>
                </c:pt>
              </c:numCache>
            </c:numRef>
          </c:val>
          <c:smooth val="0"/>
        </c:ser>
        <c:dLbls>
          <c:showLegendKey val="0"/>
          <c:showVal val="0"/>
          <c:showCatName val="0"/>
          <c:showSerName val="0"/>
          <c:showPercent val="0"/>
          <c:showBubbleSize val="0"/>
        </c:dLbls>
        <c:marker val="1"/>
        <c:smooth val="0"/>
        <c:axId val="453131682"/>
        <c:axId val="395643544"/>
      </c:lineChart>
      <c:catAx>
        <c:axId val="453131682"/>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395643544"/>
        <c:crossesAt val="0"/>
        <c:auto val="1"/>
        <c:lblAlgn val="ctr"/>
        <c:lblOffset val="100"/>
        <c:noMultiLvlLbl val="0"/>
      </c:catAx>
      <c:valAx>
        <c:axId val="395643544"/>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453131682"/>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650" b="0" i="0" u="none" strike="noStrike" kern="1200" spc="0" baseline="0">
                <a:solidFill>
                  <a:schemeClr val="tx1">
                    <a:lumMod val="65000"/>
                    <a:lumOff val="35000"/>
                  </a:schemeClr>
                </a:solidFill>
                <a:latin typeface="+mn-lt"/>
                <a:ea typeface="+mn-ea"/>
                <a:cs typeface="+mn-cs"/>
              </a:defRPr>
            </a:pPr>
            <a:r>
              <a:rPr sz="650"/>
              <a:t>Uma_4GHz_1T4R_4Repetitions_144bits</a:t>
            </a:r>
            <a:endParaRPr sz="650"/>
          </a:p>
        </c:rich>
      </c:tx>
      <c:layout/>
      <c:overlay val="0"/>
      <c:spPr>
        <a:noFill/>
        <a:ln>
          <a:noFill/>
        </a:ln>
        <a:effectLst/>
      </c:spPr>
    </c:title>
    <c:autoTitleDeleted val="0"/>
    <c:plotArea>
      <c:layout>
        <c:manualLayout>
          <c:layoutTarget val="inner"/>
          <c:xMode val="edge"/>
          <c:yMode val="edge"/>
          <c:x val="0.134364492266308"/>
          <c:y val="0.163787145818936"/>
          <c:w val="0.817215870880968"/>
          <c:h val="0.411333794056669"/>
        </c:manualLayout>
      </c:layout>
      <c:lineChart>
        <c:grouping val="standard"/>
        <c:varyColors val="0"/>
        <c:ser>
          <c:idx val="0"/>
          <c:order val="0"/>
          <c:tx>
            <c:strRef>
              <c:f>'[Coverage enhancement仿真结果.xlsx]101e新增仿真结果'!$A$790</c:f>
              <c:strCache>
                <c:ptCount val="1"/>
                <c:pt idx="0">
                  <c:v>Opiton1 with 2RBs and MCS#4,L=14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enhancement仿真结果.xlsx]101e新增仿真结果'!$B$789:$G$789</c:f>
              <c:numCache>
                <c:formatCode>General</c:formatCode>
                <c:ptCount val="6"/>
                <c:pt idx="0">
                  <c:v>-15</c:v>
                </c:pt>
                <c:pt idx="1">
                  <c:v>-13.5</c:v>
                </c:pt>
                <c:pt idx="2">
                  <c:v>-12</c:v>
                </c:pt>
                <c:pt idx="3">
                  <c:v>-10.5</c:v>
                </c:pt>
                <c:pt idx="4">
                  <c:v>-9</c:v>
                </c:pt>
                <c:pt idx="5">
                  <c:v>-7.5</c:v>
                </c:pt>
              </c:numCache>
            </c:numRef>
          </c:cat>
          <c:val>
            <c:numRef>
              <c:f>'[Coverage enhancement仿真结果.xlsx]101e新增仿真结果'!$B$790:$G$790</c:f>
              <c:numCache>
                <c:formatCode>General</c:formatCode>
                <c:ptCount val="6"/>
                <c:pt idx="0">
                  <c:v>0.95797</c:v>
                </c:pt>
                <c:pt idx="1">
                  <c:v>0.80464</c:v>
                </c:pt>
                <c:pt idx="2">
                  <c:v>0.51922</c:v>
                </c:pt>
                <c:pt idx="3">
                  <c:v>0.23259</c:v>
                </c:pt>
                <c:pt idx="4">
                  <c:v>0.08247</c:v>
                </c:pt>
              </c:numCache>
            </c:numRef>
          </c:val>
          <c:smooth val="0"/>
        </c:ser>
        <c:ser>
          <c:idx val="1"/>
          <c:order val="1"/>
          <c:tx>
            <c:strRef>
              <c:f>'[Coverage enhancement仿真结果.xlsx]101e新增仿真结果'!$A$791</c:f>
              <c:strCache>
                <c:ptCount val="1"/>
                <c:pt idx="0">
                  <c:v>Option2 with 4RBs and MCS#1,L=14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enhancement仿真结果.xlsx]101e新增仿真结果'!$B$789:$G$789</c:f>
              <c:numCache>
                <c:formatCode>General</c:formatCode>
                <c:ptCount val="6"/>
                <c:pt idx="0">
                  <c:v>-15</c:v>
                </c:pt>
                <c:pt idx="1">
                  <c:v>-13.5</c:v>
                </c:pt>
                <c:pt idx="2">
                  <c:v>-12</c:v>
                </c:pt>
                <c:pt idx="3">
                  <c:v>-10.5</c:v>
                </c:pt>
                <c:pt idx="4">
                  <c:v>-9</c:v>
                </c:pt>
                <c:pt idx="5">
                  <c:v>-7.5</c:v>
                </c:pt>
              </c:numCache>
            </c:numRef>
          </c:cat>
          <c:val>
            <c:numRef>
              <c:f>'[Coverage enhancement仿真结果.xlsx]101e新增仿真结果'!$B$791:$G$791</c:f>
              <c:numCache>
                <c:formatCode>General</c:formatCode>
                <c:ptCount val="6"/>
                <c:pt idx="0">
                  <c:v>0.55404</c:v>
                </c:pt>
                <c:pt idx="1">
                  <c:v>0.27542</c:v>
                </c:pt>
                <c:pt idx="2">
                  <c:v>0.10448</c:v>
                </c:pt>
                <c:pt idx="3">
                  <c:v>0.02842</c:v>
                </c:pt>
              </c:numCache>
            </c:numRef>
          </c:val>
          <c:smooth val="0"/>
        </c:ser>
        <c:ser>
          <c:idx val="2"/>
          <c:order val="2"/>
          <c:tx>
            <c:strRef>
              <c:f>'[Coverage enhancement仿真结果.xlsx]101e新增仿真结果'!$A$792</c:f>
              <c:strCache>
                <c:ptCount val="1"/>
                <c:pt idx="0">
                  <c:v>Opiton1 with 2RBs and MCS#5,L=12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enhancement仿真结果.xlsx]101e新增仿真结果'!$B$789:$G$789</c:f>
              <c:numCache>
                <c:formatCode>General</c:formatCode>
                <c:ptCount val="6"/>
                <c:pt idx="0">
                  <c:v>-15</c:v>
                </c:pt>
                <c:pt idx="1">
                  <c:v>-13.5</c:v>
                </c:pt>
                <c:pt idx="2">
                  <c:v>-12</c:v>
                </c:pt>
                <c:pt idx="3">
                  <c:v>-10.5</c:v>
                </c:pt>
                <c:pt idx="4">
                  <c:v>-9</c:v>
                </c:pt>
                <c:pt idx="5">
                  <c:v>-7.5</c:v>
                </c:pt>
              </c:numCache>
            </c:numRef>
          </c:cat>
          <c:val>
            <c:numRef>
              <c:f>'[Coverage enhancement仿真结果.xlsx]101e新增仿真结果'!$B$792:$G$792</c:f>
              <c:numCache>
                <c:formatCode>General</c:formatCode>
                <c:ptCount val="6"/>
                <c:pt idx="0">
                  <c:v>0.98599</c:v>
                </c:pt>
                <c:pt idx="1">
                  <c:v>0.88911</c:v>
                </c:pt>
                <c:pt idx="2">
                  <c:v>0.63811</c:v>
                </c:pt>
                <c:pt idx="3">
                  <c:v>0.32866</c:v>
                </c:pt>
                <c:pt idx="4">
                  <c:v>0.1278</c:v>
                </c:pt>
                <c:pt idx="5">
                  <c:v>0.04243</c:v>
                </c:pt>
              </c:numCache>
            </c:numRef>
          </c:val>
          <c:smooth val="0"/>
        </c:ser>
        <c:ser>
          <c:idx val="3"/>
          <c:order val="3"/>
          <c:tx>
            <c:strRef>
              <c:f>'[Coverage enhancement仿真结果.xlsx]101e新增仿真结果'!$A$793</c:f>
              <c:strCache>
                <c:ptCount val="1"/>
                <c:pt idx="0">
                  <c:v>Option2 with 6RBs and MCS#0,L=12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enhancement仿真结果.xlsx]101e新增仿真结果'!$B$789:$G$789</c:f>
              <c:numCache>
                <c:formatCode>General</c:formatCode>
                <c:ptCount val="6"/>
                <c:pt idx="0">
                  <c:v>-15</c:v>
                </c:pt>
                <c:pt idx="1">
                  <c:v>-13.5</c:v>
                </c:pt>
                <c:pt idx="2">
                  <c:v>-12</c:v>
                </c:pt>
                <c:pt idx="3">
                  <c:v>-10.5</c:v>
                </c:pt>
                <c:pt idx="4">
                  <c:v>-9</c:v>
                </c:pt>
                <c:pt idx="5">
                  <c:v>-7.5</c:v>
                </c:pt>
              </c:numCache>
            </c:numRef>
          </c:cat>
          <c:val>
            <c:numRef>
              <c:f>'[Coverage enhancement仿真结果.xlsx]101e新增仿真结果'!$B$793:$G$793</c:f>
              <c:numCache>
                <c:formatCode>General</c:formatCode>
                <c:ptCount val="6"/>
                <c:pt idx="0">
                  <c:v>0.35709</c:v>
                </c:pt>
                <c:pt idx="1">
                  <c:v>0.13731</c:v>
                </c:pt>
                <c:pt idx="2">
                  <c:v>0.04003</c:v>
                </c:pt>
              </c:numCache>
            </c:numRef>
          </c:val>
          <c:smooth val="0"/>
        </c:ser>
        <c:dLbls>
          <c:showLegendKey val="0"/>
          <c:showVal val="0"/>
          <c:showCatName val="0"/>
          <c:showSerName val="0"/>
          <c:showPercent val="0"/>
          <c:showBubbleSize val="0"/>
        </c:dLbls>
        <c:marker val="1"/>
        <c:smooth val="0"/>
        <c:axId val="476485674"/>
        <c:axId val="746430270"/>
      </c:lineChart>
      <c:catAx>
        <c:axId val="476485674"/>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746430270"/>
        <c:crossesAt val="0"/>
        <c:auto val="1"/>
        <c:lblAlgn val="ctr"/>
        <c:lblOffset val="100"/>
        <c:noMultiLvlLbl val="0"/>
      </c:catAx>
      <c:valAx>
        <c:axId val="746430270"/>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47648567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650" b="0" i="0" u="none" strike="noStrike" kern="1200" spc="0" baseline="0">
                <a:solidFill>
                  <a:schemeClr val="tx1">
                    <a:lumMod val="65000"/>
                    <a:lumOff val="35000"/>
                  </a:schemeClr>
                </a:solidFill>
                <a:latin typeface="+mn-lt"/>
                <a:ea typeface="+mn-ea"/>
                <a:cs typeface="+mn-cs"/>
              </a:defRPr>
            </a:pPr>
            <a:r>
              <a:rPr sz="650"/>
              <a:t>Uma_4GHz_1T4R_4Repetitions_208bits</a:t>
            </a:r>
            <a:endParaRPr sz="650"/>
          </a:p>
        </c:rich>
      </c:tx>
      <c:layout/>
      <c:overlay val="0"/>
      <c:spPr>
        <a:noFill/>
        <a:ln>
          <a:noFill/>
        </a:ln>
        <a:effectLst/>
      </c:spPr>
    </c:title>
    <c:autoTitleDeleted val="0"/>
    <c:plotArea>
      <c:layout>
        <c:manualLayout>
          <c:layoutTarget val="inner"/>
          <c:xMode val="edge"/>
          <c:yMode val="edge"/>
          <c:x val="0.140416946872898"/>
          <c:y val="0.160331720801659"/>
          <c:w val="0.785608607935441"/>
          <c:h val="0.411333794056669"/>
        </c:manualLayout>
      </c:layout>
      <c:lineChart>
        <c:grouping val="standard"/>
        <c:varyColors val="0"/>
        <c:ser>
          <c:idx val="0"/>
          <c:order val="0"/>
          <c:tx>
            <c:strRef>
              <c:f>'[Coverage enhancement仿真结果.xlsx]101e新增仿真结果'!$A$797</c:f>
              <c:strCache>
                <c:ptCount val="1"/>
                <c:pt idx="0">
                  <c:v>Opiton1 with 2RBs and MCS#6,L=14</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enhancement仿真结果.xlsx]101e新增仿真结果'!$B$796:$H$796</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enhancement仿真结果.xlsx]101e新增仿真结果'!$B$797:$H$797</c:f>
              <c:numCache>
                <c:formatCode>General</c:formatCode>
                <c:ptCount val="7"/>
                <c:pt idx="0">
                  <c:v>0.996</c:v>
                </c:pt>
                <c:pt idx="1">
                  <c:v>0.96557</c:v>
                </c:pt>
                <c:pt idx="2">
                  <c:v>0.82506</c:v>
                </c:pt>
                <c:pt idx="3">
                  <c:v>0.54283</c:v>
                </c:pt>
                <c:pt idx="4">
                  <c:v>0.26221</c:v>
                </c:pt>
                <c:pt idx="5">
                  <c:v>0.09648</c:v>
                </c:pt>
              </c:numCache>
            </c:numRef>
          </c:val>
          <c:smooth val="0"/>
        </c:ser>
        <c:ser>
          <c:idx val="1"/>
          <c:order val="1"/>
          <c:tx>
            <c:strRef>
              <c:f>'[Coverage enhancement仿真结果.xlsx]101e新增仿真结果'!$A$798</c:f>
              <c:strCache>
                <c:ptCount val="1"/>
                <c:pt idx="0">
                  <c:v>Option2 with 5RBs and MCS#1,L=14</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enhancement仿真结果.xlsx]101e新增仿真结果'!$B$796:$H$796</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enhancement仿真结果.xlsx]101e新增仿真结果'!$B$798:$H$798</c:f>
              <c:numCache>
                <c:formatCode>General</c:formatCode>
                <c:ptCount val="7"/>
                <c:pt idx="0">
                  <c:v>0.69816</c:v>
                </c:pt>
                <c:pt idx="1">
                  <c:v>0.38871</c:v>
                </c:pt>
                <c:pt idx="2">
                  <c:v>0.15132</c:v>
                </c:pt>
                <c:pt idx="3">
                  <c:v>0.04524</c:v>
                </c:pt>
              </c:numCache>
            </c:numRef>
          </c:val>
          <c:smooth val="0"/>
        </c:ser>
        <c:ser>
          <c:idx val="2"/>
          <c:order val="2"/>
          <c:tx>
            <c:strRef>
              <c:f>'[Coverage enhancement仿真结果.xlsx]101e新增仿真结果'!$A$799</c:f>
              <c:strCache>
                <c:ptCount val="1"/>
                <c:pt idx="0">
                  <c:v>Opiton1 with 2RBs and MCS#7,L=12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enhancement仿真结果.xlsx]101e新增仿真结果'!$B$796:$H$796</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enhancement仿真结果.xlsx]101e新增仿真结果'!$B$799:$H$799</c:f>
              <c:numCache>
                <c:formatCode>General</c:formatCode>
                <c:ptCount val="7"/>
                <c:pt idx="0">
                  <c:v>0.9996</c:v>
                </c:pt>
                <c:pt idx="1">
                  <c:v>0.98719</c:v>
                </c:pt>
                <c:pt idx="2">
                  <c:v>0.90072</c:v>
                </c:pt>
                <c:pt idx="3">
                  <c:v>0.67574</c:v>
                </c:pt>
                <c:pt idx="4">
                  <c:v>0.36829</c:v>
                </c:pt>
                <c:pt idx="5">
                  <c:v>0.14452</c:v>
                </c:pt>
                <c:pt idx="6">
                  <c:v>0.04604</c:v>
                </c:pt>
              </c:numCache>
            </c:numRef>
          </c:val>
          <c:smooth val="0"/>
        </c:ser>
        <c:ser>
          <c:idx val="3"/>
          <c:order val="3"/>
          <c:tx>
            <c:strRef>
              <c:f>'[Coverage enhancement仿真结果.xlsx]101e新增仿真结果'!$A$800</c:f>
              <c:strCache>
                <c:ptCount val="1"/>
                <c:pt idx="0">
                  <c:v>Option2 with 7RBs and MCS#1,L=12</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enhancement仿真结果.xlsx]101e新增仿真结果'!$B$796:$H$796</c:f>
              <c:numCache>
                <c:formatCode>General</c:formatCode>
                <c:ptCount val="7"/>
                <c:pt idx="0">
                  <c:v>-15</c:v>
                </c:pt>
                <c:pt idx="1">
                  <c:v>-13.5</c:v>
                </c:pt>
                <c:pt idx="2">
                  <c:v>-12</c:v>
                </c:pt>
                <c:pt idx="3">
                  <c:v>-10.5</c:v>
                </c:pt>
                <c:pt idx="4">
                  <c:v>-9</c:v>
                </c:pt>
                <c:pt idx="5">
                  <c:v>-7.5</c:v>
                </c:pt>
                <c:pt idx="6">
                  <c:v>-6</c:v>
                </c:pt>
              </c:numCache>
            </c:numRef>
          </c:cat>
          <c:val>
            <c:numRef>
              <c:f>'[Coverage enhancement仿真结果.xlsx]101e新增仿真结果'!$B$800:$H$800</c:f>
              <c:numCache>
                <c:formatCode>General</c:formatCode>
                <c:ptCount val="7"/>
                <c:pt idx="0">
                  <c:v>0.57886</c:v>
                </c:pt>
                <c:pt idx="1">
                  <c:v>0.27302</c:v>
                </c:pt>
                <c:pt idx="2">
                  <c:v>0.08687</c:v>
                </c:pt>
              </c:numCache>
            </c:numRef>
          </c:val>
          <c:smooth val="0"/>
        </c:ser>
        <c:dLbls>
          <c:showLegendKey val="0"/>
          <c:showVal val="0"/>
          <c:showCatName val="0"/>
          <c:showSerName val="0"/>
          <c:showPercent val="0"/>
          <c:showBubbleSize val="0"/>
        </c:dLbls>
        <c:marker val="1"/>
        <c:smooth val="0"/>
        <c:axId val="714672285"/>
        <c:axId val="25239542"/>
      </c:lineChart>
      <c:catAx>
        <c:axId val="714672285"/>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25239542"/>
        <c:crossesAt val="0"/>
        <c:auto val="1"/>
        <c:lblAlgn val="ctr"/>
        <c:lblOffset val="100"/>
        <c:noMultiLvlLbl val="0"/>
      </c:catAx>
      <c:valAx>
        <c:axId val="25239542"/>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crossAx val="714672285"/>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egendEntry>
        <c:idx val="3"/>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52B0C2A-1627-499A-BDC9-127781D196C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2021-11-05T10:54:29Z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